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900779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8B456C">
            <w:trPr>
              <w:trHeight w:val="2880"/>
              <w:jc w:val="center"/>
            </w:trPr>
            <w:sdt>
              <w:sdtPr>
                <w:rPr>
                  <w:rFonts w:asciiTheme="majorHAnsi" w:eastAsiaTheme="majorEastAsia" w:hAnsiTheme="majorHAnsi" w:cstheme="majorBidi"/>
                  <w:caps/>
                </w:rPr>
                <w:alias w:val="Société"/>
                <w:id w:val="15524243"/>
                <w:dataBinding w:prefixMappings="xmlns:ns0='http://schemas.openxmlformats.org/officeDocument/2006/extended-properties'" w:xpath="/ns0:Properties[1]/ns0:Company[1]" w:storeItemID="{6668398D-A668-4E3E-A5EB-62B293D839F1}"/>
                <w:text/>
              </w:sdtPr>
              <w:sdtContent>
                <w:tc>
                  <w:tcPr>
                    <w:tcW w:w="5000" w:type="pct"/>
                  </w:tcPr>
                  <w:p w:rsidR="008B456C" w:rsidRDefault="008B456C" w:rsidP="008B456C">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Conseil Scientifique de l’IN2P3</w:t>
                    </w:r>
                  </w:p>
                </w:tc>
              </w:sdtContent>
            </w:sdt>
          </w:tr>
          <w:tr w:rsidR="008B456C">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B456C" w:rsidRDefault="00A86920" w:rsidP="00A86920">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Bilan de la contribution française à l’e</w:t>
                    </w:r>
                    <w:r w:rsidR="008B456C">
                      <w:rPr>
                        <w:rFonts w:asciiTheme="majorHAnsi" w:eastAsiaTheme="majorEastAsia" w:hAnsiTheme="majorHAnsi" w:cstheme="majorBidi"/>
                        <w:sz w:val="80"/>
                        <w:szCs w:val="80"/>
                      </w:rPr>
                      <w:t>xpérience PHENIX</w:t>
                    </w:r>
                  </w:p>
                </w:tc>
              </w:sdtContent>
            </w:sdt>
          </w:tr>
          <w:tr w:rsidR="008B456C">
            <w:trPr>
              <w:trHeight w:val="720"/>
              <w:jc w:val="center"/>
            </w:trPr>
            <w:sdt>
              <w:sdtPr>
                <w:rPr>
                  <w:rFonts w:asciiTheme="majorHAnsi" w:eastAsiaTheme="majorEastAsia" w:hAnsiTheme="majorHAnsi"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B456C" w:rsidRDefault="008B456C" w:rsidP="008B456C">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Document support</w:t>
                    </w:r>
                  </w:p>
                </w:tc>
              </w:sdtContent>
            </w:sdt>
          </w:tr>
          <w:tr w:rsidR="008B456C">
            <w:trPr>
              <w:trHeight w:val="360"/>
              <w:jc w:val="center"/>
            </w:trPr>
            <w:tc>
              <w:tcPr>
                <w:tcW w:w="5000" w:type="pct"/>
                <w:vAlign w:val="center"/>
              </w:tcPr>
              <w:p w:rsidR="008B456C" w:rsidRDefault="008B456C">
                <w:pPr>
                  <w:pStyle w:val="Sansinterligne"/>
                  <w:jc w:val="center"/>
                </w:pPr>
              </w:p>
            </w:tc>
          </w:tr>
          <w:tr w:rsidR="008B456C">
            <w:trPr>
              <w:trHeight w:val="360"/>
              <w:jc w:val="center"/>
            </w:trPr>
            <w:tc>
              <w:tcPr>
                <w:tcW w:w="5000" w:type="pct"/>
                <w:vAlign w:val="center"/>
              </w:tcPr>
              <w:p w:rsidR="008B456C" w:rsidRDefault="008B456C" w:rsidP="00901D50">
                <w:pPr>
                  <w:pStyle w:val="Sansinterligne"/>
                  <w:rPr>
                    <w:b/>
                    <w:bCs/>
                  </w:rPr>
                </w:pPr>
              </w:p>
            </w:tc>
          </w:tr>
          <w:tr w:rsidR="008B456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6-04T00:00:00Z">
                  <w:dateFormat w:val="dd/MM/yyyy"/>
                  <w:lid w:val="fr-FR"/>
                  <w:storeMappedDataAs w:val="dateTime"/>
                  <w:calendar w:val="gregorian"/>
                </w:date>
              </w:sdtPr>
              <w:sdtContent>
                <w:tc>
                  <w:tcPr>
                    <w:tcW w:w="5000" w:type="pct"/>
                    <w:vAlign w:val="center"/>
                  </w:tcPr>
                  <w:p w:rsidR="008B456C" w:rsidRDefault="008B456C">
                    <w:pPr>
                      <w:pStyle w:val="Sansinterligne"/>
                      <w:jc w:val="center"/>
                      <w:rPr>
                        <w:b/>
                        <w:bCs/>
                      </w:rPr>
                    </w:pPr>
                    <w:r>
                      <w:rPr>
                        <w:b/>
                        <w:bCs/>
                      </w:rPr>
                      <w:t>04/06/2010</w:t>
                    </w:r>
                  </w:p>
                </w:tc>
              </w:sdtContent>
            </w:sdt>
          </w:tr>
        </w:tbl>
        <w:p w:rsidR="008B456C" w:rsidRDefault="008B456C"/>
        <w:p w:rsidR="008B456C" w:rsidRDefault="008B456C"/>
        <w:tbl>
          <w:tblPr>
            <w:tblpPr w:leftFromText="187" w:rightFromText="187" w:horzAnchor="margin" w:tblpXSpec="center" w:tblpYSpec="bottom"/>
            <w:tblW w:w="5000" w:type="pct"/>
            <w:tblLook w:val="04A0"/>
          </w:tblPr>
          <w:tblGrid>
            <w:gridCol w:w="9288"/>
          </w:tblGrid>
          <w:tr w:rsidR="008B456C">
            <w:sdt>
              <w:sdt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8B456C" w:rsidRDefault="008B456C" w:rsidP="008B456C">
                    <w:pPr>
                      <w:pStyle w:val="Sansinterligne"/>
                    </w:pPr>
                    <w:r>
                      <w:t xml:space="preserve">Rédigé par : Laurent </w:t>
                    </w:r>
                    <w:proofErr w:type="spellStart"/>
                    <w:r>
                      <w:t>Aphecetche</w:t>
                    </w:r>
                    <w:proofErr w:type="spellEnd"/>
                    <w:r>
                      <w:t xml:space="preserve">, Alberto </w:t>
                    </w:r>
                    <w:proofErr w:type="spellStart"/>
                    <w:r>
                      <w:t>Baldisseri</w:t>
                    </w:r>
                    <w:proofErr w:type="spellEnd"/>
                    <w:r>
                      <w:t xml:space="preserve">, </w:t>
                    </w:r>
                    <w:r w:rsidR="00082E77">
                      <w:t xml:space="preserve">Hugues </w:t>
                    </w:r>
                    <w:proofErr w:type="spellStart"/>
                    <w:r w:rsidR="00082E77">
                      <w:t>Delagrange</w:t>
                    </w:r>
                    <w:proofErr w:type="spellEnd"/>
                    <w:r w:rsidR="00082E77">
                      <w:t xml:space="preserve">, </w:t>
                    </w:r>
                    <w:r>
                      <w:t xml:space="preserve">Olivier Drapier, Frédéric Fleuret, Michel Gonin, Raphaël </w:t>
                    </w:r>
                    <w:proofErr w:type="spellStart"/>
                    <w:r>
                      <w:t>Granier</w:t>
                    </w:r>
                    <w:proofErr w:type="spellEnd"/>
                    <w:r>
                      <w:t xml:space="preserve"> de Cassagnac, Denis </w:t>
                    </w:r>
                    <w:proofErr w:type="spellStart"/>
                    <w:r>
                      <w:t>Jouan</w:t>
                    </w:r>
                    <w:proofErr w:type="spellEnd"/>
                    <w:r>
                      <w:t>,  Guy Roche.</w:t>
                    </w:r>
                  </w:p>
                </w:tc>
              </w:sdtContent>
            </w:sdt>
          </w:tr>
        </w:tbl>
        <w:p w:rsidR="008B456C" w:rsidRDefault="008B456C"/>
        <w:p w:rsidR="008B456C" w:rsidRDefault="008B456C">
          <w:pPr>
            <w:rPr>
              <w:rFonts w:asciiTheme="majorHAnsi" w:eastAsiaTheme="majorEastAsia" w:hAnsiTheme="majorHAnsi" w:cstheme="majorBidi"/>
              <w:b/>
              <w:bCs/>
              <w:color w:val="365F91" w:themeColor="accent1" w:themeShade="BF"/>
              <w:sz w:val="28"/>
              <w:szCs w:val="28"/>
            </w:rPr>
          </w:pPr>
          <w:r>
            <w:br w:type="page"/>
          </w:r>
        </w:p>
      </w:sdtContent>
    </w:sdt>
    <w:p w:rsidR="00984E55" w:rsidRDefault="00F20365" w:rsidP="00F20365">
      <w:pPr>
        <w:pStyle w:val="Titre1"/>
        <w:numPr>
          <w:ilvl w:val="0"/>
          <w:numId w:val="1"/>
        </w:numPr>
      </w:pPr>
      <w:r>
        <w:lastRenderedPageBreak/>
        <w:t>Introduction</w:t>
      </w:r>
    </w:p>
    <w:p w:rsidR="00DB7D23" w:rsidRDefault="00DB7D23" w:rsidP="00DB7D23">
      <w:pPr>
        <w:jc w:val="both"/>
      </w:pPr>
      <w:r>
        <w:t>L’expérience PHENIX e</w:t>
      </w:r>
      <w:r w:rsidR="00E75983">
        <w:t xml:space="preserve">st l’une des quatre expériences </w:t>
      </w:r>
      <w:r w:rsidR="004D22F7">
        <w:t xml:space="preserve">fonctionnant </w:t>
      </w:r>
      <w:r>
        <w:t>auprès du collisionneur RHIC (</w:t>
      </w:r>
      <w:proofErr w:type="spellStart"/>
      <w:r>
        <w:t>Relativistic</w:t>
      </w:r>
      <w:proofErr w:type="spellEnd"/>
      <w:r>
        <w:t xml:space="preserve"> </w:t>
      </w:r>
      <w:proofErr w:type="spellStart"/>
      <w:r>
        <w:t>Heavy</w:t>
      </w:r>
      <w:proofErr w:type="spellEnd"/>
      <w:r>
        <w:t xml:space="preserve"> Ion </w:t>
      </w:r>
      <w:proofErr w:type="spellStart"/>
      <w:r>
        <w:t>Collider</w:t>
      </w:r>
      <w:proofErr w:type="spellEnd"/>
      <w:r>
        <w:t xml:space="preserve">) depuis l’année 2000 au </w:t>
      </w:r>
      <w:r w:rsidR="00221A7F">
        <w:t xml:space="preserve">Brookhaven National </w:t>
      </w:r>
      <w:proofErr w:type="spellStart"/>
      <w:r w:rsidR="00221A7F">
        <w:t>Laboratory</w:t>
      </w:r>
      <w:proofErr w:type="spellEnd"/>
      <w:r w:rsidR="00221A7F">
        <w:t>.</w:t>
      </w:r>
    </w:p>
    <w:p w:rsidR="0084360B" w:rsidRDefault="00DB7D23" w:rsidP="00221A7F">
      <w:pPr>
        <w:jc w:val="both"/>
      </w:pPr>
      <w:r>
        <w:t xml:space="preserve">En plus du programme principal dédié à l’étude du plasma de quarks et de gluons par l’étude des collisions d’ions lourds à des énergies jusqu’à </w:t>
      </w:r>
      <w:r>
        <w:sym w:font="Symbol" w:char="F0D6"/>
      </w:r>
      <w:r>
        <w:t xml:space="preserve">s=200 </w:t>
      </w:r>
      <w:proofErr w:type="spellStart"/>
      <w:r>
        <w:t>GeV</w:t>
      </w:r>
      <w:proofErr w:type="spellEnd"/>
      <w:r>
        <w:t>, PHENIX intègre un programme de recherche dans le domaine de l’étude de la structure en spin du nucléon grâce aux collisions de protons polarisés.</w:t>
      </w:r>
      <w:r w:rsidR="0084360B">
        <w:t xml:space="preserve"> Le </w:t>
      </w:r>
      <w:r w:rsidR="000B4253">
        <w:fldChar w:fldCharType="begin"/>
      </w:r>
      <w:r w:rsidR="0084360B">
        <w:instrText xml:space="preserve"> REF _Ref262748626 \h </w:instrText>
      </w:r>
      <w:r w:rsidR="000B4253">
        <w:fldChar w:fldCharType="separate"/>
      </w:r>
      <w:r w:rsidR="00FE5A86">
        <w:t xml:space="preserve">Tableau </w:t>
      </w:r>
      <w:r w:rsidR="00FE5A86">
        <w:rPr>
          <w:noProof/>
        </w:rPr>
        <w:t>1</w:t>
      </w:r>
      <w:r w:rsidR="000B4253">
        <w:fldChar w:fldCharType="end"/>
      </w:r>
      <w:r w:rsidR="0084360B">
        <w:t xml:space="preserve"> donne la liste des collisions effectuées depuis le démarrage du RHIC ainsi que les luminosités accumulées par l’expérience PHENIX.</w:t>
      </w:r>
    </w:p>
    <w:tbl>
      <w:tblPr>
        <w:tblW w:w="0" w:type="auto"/>
        <w:tblBorders>
          <w:top w:val="single" w:sz="8" w:space="0" w:color="000000" w:themeColor="text1"/>
          <w:bottom w:val="single" w:sz="8" w:space="0" w:color="000000" w:themeColor="text1"/>
        </w:tblBorders>
        <w:tblLook w:val="04A0"/>
      </w:tblPr>
      <w:tblGrid>
        <w:gridCol w:w="3070"/>
        <w:gridCol w:w="3071"/>
        <w:gridCol w:w="3071"/>
      </w:tblGrid>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Campagne</w:t>
            </w:r>
          </w:p>
        </w:tc>
        <w:tc>
          <w:tcPr>
            <w:tcW w:w="3071" w:type="dxa"/>
          </w:tcPr>
          <w:p w:rsidR="0084360B" w:rsidRPr="0084360B" w:rsidRDefault="0084360B" w:rsidP="0084360B">
            <w:pPr>
              <w:pStyle w:val="Corpsdetexte"/>
              <w:ind w:firstLine="0"/>
              <w:jc w:val="center"/>
              <w:rPr>
                <w:b/>
                <w:bCs/>
                <w:color w:val="000000" w:themeColor="text1" w:themeShade="BF"/>
                <w:sz w:val="22"/>
                <w:szCs w:val="22"/>
                <w:lang w:val="da-DK"/>
              </w:rPr>
            </w:pPr>
            <w:r w:rsidRPr="0084360B">
              <w:rPr>
                <w:b/>
                <w:bCs/>
                <w:color w:val="000000" w:themeColor="text1" w:themeShade="BF"/>
                <w:sz w:val="22"/>
                <w:szCs w:val="22"/>
                <w:lang w:val="da-DK"/>
              </w:rPr>
              <w:t>Espèce</w:t>
            </w:r>
          </w:p>
        </w:tc>
        <w:tc>
          <w:tcPr>
            <w:tcW w:w="3071" w:type="dxa"/>
          </w:tcPr>
          <w:p w:rsidR="0084360B" w:rsidRPr="0084360B" w:rsidRDefault="0084360B" w:rsidP="0084360B">
            <w:pPr>
              <w:pStyle w:val="Corpsdetexte"/>
              <w:ind w:firstLine="0"/>
              <w:jc w:val="right"/>
              <w:rPr>
                <w:b/>
                <w:bCs/>
                <w:color w:val="000000" w:themeColor="text1" w:themeShade="BF"/>
                <w:sz w:val="22"/>
                <w:szCs w:val="22"/>
                <w:lang w:val="da-DK"/>
              </w:rPr>
            </w:pPr>
            <w:r w:rsidRPr="0084360B">
              <w:rPr>
                <w:b/>
                <w:bCs/>
                <w:color w:val="000000" w:themeColor="text1" w:themeShade="BF"/>
                <w:sz w:val="22"/>
                <w:szCs w:val="22"/>
                <w:lang w:val="da-DK"/>
              </w:rPr>
              <w:t>Luminosité intégrée</w:t>
            </w:r>
          </w:p>
        </w:tc>
      </w:tr>
      <w:tr w:rsidR="00765B03" w:rsidTr="0084360B">
        <w:tc>
          <w:tcPr>
            <w:tcW w:w="3070" w:type="dxa"/>
          </w:tcPr>
          <w:p w:rsidR="00765B03" w:rsidRPr="0084360B" w:rsidRDefault="00765B03" w:rsidP="0084360B">
            <w:pPr>
              <w:pStyle w:val="Corpsdetexte"/>
              <w:ind w:firstLine="0"/>
              <w:rPr>
                <w:b/>
                <w:bCs/>
                <w:color w:val="000000" w:themeColor="text1" w:themeShade="BF"/>
                <w:sz w:val="22"/>
                <w:szCs w:val="22"/>
                <w:lang w:val="da-DK"/>
              </w:rPr>
            </w:pPr>
            <w:r>
              <w:rPr>
                <w:b/>
                <w:bCs/>
                <w:color w:val="000000" w:themeColor="text1" w:themeShade="BF"/>
                <w:sz w:val="22"/>
                <w:szCs w:val="22"/>
                <w:lang w:val="da-DK"/>
              </w:rPr>
              <w:t>2000/2001</w:t>
            </w:r>
          </w:p>
        </w:tc>
        <w:tc>
          <w:tcPr>
            <w:tcW w:w="3071" w:type="dxa"/>
            <w:vAlign w:val="center"/>
          </w:tcPr>
          <w:p w:rsidR="00765B03" w:rsidRPr="0084360B" w:rsidRDefault="00765B03" w:rsidP="0084360B">
            <w:pPr>
              <w:pStyle w:val="Corpsdetexte"/>
              <w:ind w:firstLine="0"/>
              <w:jc w:val="center"/>
              <w:rPr>
                <w:color w:val="000000" w:themeColor="text1" w:themeShade="BF"/>
                <w:sz w:val="22"/>
                <w:szCs w:val="22"/>
                <w:lang w:val="da-DK"/>
              </w:rPr>
            </w:pPr>
            <w:r>
              <w:rPr>
                <w:color w:val="000000" w:themeColor="text1" w:themeShade="BF"/>
                <w:sz w:val="22"/>
                <w:szCs w:val="22"/>
                <w:lang w:val="da-DK"/>
              </w:rPr>
              <w:t>Au+Au (130 GeV)</w:t>
            </w:r>
          </w:p>
        </w:tc>
        <w:tc>
          <w:tcPr>
            <w:tcW w:w="3071" w:type="dxa"/>
            <w:vAlign w:val="center"/>
          </w:tcPr>
          <w:p w:rsidR="00765B03" w:rsidRPr="002E2793" w:rsidRDefault="002E2793" w:rsidP="0084360B">
            <w:pPr>
              <w:pStyle w:val="Corpsdetexte"/>
              <w:ind w:firstLine="0"/>
              <w:jc w:val="right"/>
              <w:rPr>
                <w:sz w:val="22"/>
                <w:szCs w:val="22"/>
                <w:lang w:val="da-DK"/>
              </w:rPr>
            </w:pPr>
            <w:r w:rsidRPr="002E2793">
              <w:rPr>
                <w:sz w:val="22"/>
                <w:szCs w:val="22"/>
                <w:lang w:val="da-DK"/>
              </w:rPr>
              <w:t xml:space="preserve">1,0 </w:t>
            </w:r>
            <w:r w:rsidRPr="002E2793">
              <w:rPr>
                <w:rFonts w:ascii="Symbol" w:hAnsi="Symbol"/>
                <w:sz w:val="22"/>
                <w:szCs w:val="22"/>
                <w:lang w:val="da-DK"/>
              </w:rPr>
              <w:t></w:t>
            </w:r>
            <w:r w:rsidRPr="002E2793">
              <w:rPr>
                <w:sz w:val="22"/>
                <w:szCs w:val="22"/>
                <w:lang w:val="da-DK"/>
              </w:rPr>
              <w:t>b</w:t>
            </w:r>
            <w:r w:rsidRPr="002E2793">
              <w:rPr>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2001/2002</w:t>
            </w:r>
          </w:p>
        </w:tc>
        <w:tc>
          <w:tcPr>
            <w:tcW w:w="3071" w:type="dxa"/>
            <w:vAlign w:val="center"/>
          </w:tcPr>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Au+Au  (200 GeV)</w:t>
            </w:r>
          </w:p>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p+p        (200 GeV)</w:t>
            </w:r>
          </w:p>
        </w:tc>
        <w:tc>
          <w:tcPr>
            <w:tcW w:w="3071" w:type="dxa"/>
            <w:vAlign w:val="center"/>
          </w:tcPr>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 xml:space="preserve">24,0 </w:t>
            </w:r>
            <w:r w:rsidRPr="0084360B">
              <w:rPr>
                <w:rFonts w:ascii="Symbol" w:hAnsi="Symbol"/>
                <w:color w:val="000000" w:themeColor="text1" w:themeShade="BF"/>
                <w:sz w:val="22"/>
                <w:szCs w:val="22"/>
                <w:lang w:val="da-DK"/>
              </w:rPr>
              <w:t></w:t>
            </w:r>
            <w:r w:rsidRPr="0084360B">
              <w:rPr>
                <w:color w:val="000000" w:themeColor="text1" w:themeShade="BF"/>
                <w:sz w:val="22"/>
                <w:szCs w:val="22"/>
                <w:lang w:val="da-DK"/>
              </w:rPr>
              <w:t>b</w:t>
            </w:r>
            <w:r w:rsidRPr="0084360B">
              <w:rPr>
                <w:color w:val="000000" w:themeColor="text1" w:themeShade="BF"/>
                <w:sz w:val="22"/>
                <w:szCs w:val="22"/>
                <w:vertAlign w:val="superscript"/>
                <w:lang w:val="da-DK"/>
              </w:rPr>
              <w:t>-1</w:t>
            </w:r>
          </w:p>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0,15 pb</w:t>
            </w:r>
            <w:r w:rsidRPr="0084360B">
              <w:rPr>
                <w:color w:val="000000" w:themeColor="text1" w:themeShade="BF"/>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2002/2003</w:t>
            </w:r>
          </w:p>
        </w:tc>
        <w:tc>
          <w:tcPr>
            <w:tcW w:w="3071" w:type="dxa"/>
            <w:vAlign w:val="center"/>
          </w:tcPr>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d+Au     (200 GeV)</w:t>
            </w:r>
          </w:p>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p+p        (200 GeV)</w:t>
            </w:r>
          </w:p>
        </w:tc>
        <w:tc>
          <w:tcPr>
            <w:tcW w:w="3071" w:type="dxa"/>
            <w:vAlign w:val="center"/>
          </w:tcPr>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2,74 nb</w:t>
            </w:r>
            <w:r w:rsidRPr="0084360B">
              <w:rPr>
                <w:color w:val="000000" w:themeColor="text1" w:themeShade="BF"/>
                <w:sz w:val="22"/>
                <w:szCs w:val="22"/>
                <w:vertAlign w:val="superscript"/>
                <w:lang w:val="da-DK"/>
              </w:rPr>
              <w:t>-1</w:t>
            </w:r>
          </w:p>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0,35 pb-1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2003/2004</w:t>
            </w:r>
          </w:p>
        </w:tc>
        <w:tc>
          <w:tcPr>
            <w:tcW w:w="3071" w:type="dxa"/>
            <w:vAlign w:val="center"/>
          </w:tcPr>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Au+Au  (200 GeV)</w:t>
            </w:r>
          </w:p>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Au+Au    (62 GeV)</w:t>
            </w:r>
          </w:p>
        </w:tc>
        <w:tc>
          <w:tcPr>
            <w:tcW w:w="3071" w:type="dxa"/>
            <w:vAlign w:val="center"/>
          </w:tcPr>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 xml:space="preserve">241  </w:t>
            </w:r>
            <w:r w:rsidRPr="0084360B">
              <w:rPr>
                <w:rFonts w:ascii="Symbol" w:hAnsi="Symbol"/>
                <w:color w:val="000000" w:themeColor="text1" w:themeShade="BF"/>
                <w:sz w:val="22"/>
                <w:szCs w:val="22"/>
                <w:lang w:val="da-DK"/>
              </w:rPr>
              <w:t></w:t>
            </w:r>
            <w:r w:rsidRPr="0084360B">
              <w:rPr>
                <w:color w:val="000000" w:themeColor="text1" w:themeShade="BF"/>
                <w:sz w:val="22"/>
                <w:szCs w:val="22"/>
                <w:lang w:val="da-DK"/>
              </w:rPr>
              <w:t>b</w:t>
            </w:r>
            <w:r w:rsidRPr="0084360B">
              <w:rPr>
                <w:color w:val="000000" w:themeColor="text1" w:themeShade="BF"/>
                <w:sz w:val="22"/>
                <w:szCs w:val="22"/>
                <w:vertAlign w:val="superscript"/>
                <w:lang w:val="da-DK"/>
              </w:rPr>
              <w:t>-1</w:t>
            </w:r>
          </w:p>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 xml:space="preserve">     9 </w:t>
            </w:r>
            <w:r w:rsidRPr="0084360B">
              <w:rPr>
                <w:rFonts w:ascii="Symbol" w:hAnsi="Symbol"/>
                <w:color w:val="000000" w:themeColor="text1" w:themeShade="BF"/>
                <w:sz w:val="22"/>
                <w:szCs w:val="22"/>
                <w:lang w:val="da-DK"/>
              </w:rPr>
              <w:t></w:t>
            </w:r>
            <w:r w:rsidRPr="0084360B">
              <w:rPr>
                <w:color w:val="000000" w:themeColor="text1" w:themeShade="BF"/>
                <w:sz w:val="22"/>
                <w:szCs w:val="22"/>
                <w:lang w:val="da-DK"/>
              </w:rPr>
              <w:t>b</w:t>
            </w:r>
            <w:r w:rsidRPr="0084360B">
              <w:rPr>
                <w:color w:val="000000" w:themeColor="text1" w:themeShade="BF"/>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2004/2005</w:t>
            </w:r>
          </w:p>
        </w:tc>
        <w:tc>
          <w:tcPr>
            <w:tcW w:w="3071" w:type="dxa"/>
            <w:vAlign w:val="center"/>
          </w:tcPr>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Cu+Cu  (200 GeV)</w:t>
            </w:r>
          </w:p>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Cu+Cu    (62 GeV)</w:t>
            </w:r>
          </w:p>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Cu+Cu (22,5 GeV)</w:t>
            </w:r>
          </w:p>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p+p       (200 GeV)</w:t>
            </w:r>
          </w:p>
        </w:tc>
        <w:tc>
          <w:tcPr>
            <w:tcW w:w="3071" w:type="dxa"/>
            <w:vAlign w:val="center"/>
          </w:tcPr>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 xml:space="preserve">     3 nb</w:t>
            </w:r>
            <w:r w:rsidRPr="0084360B">
              <w:rPr>
                <w:color w:val="000000" w:themeColor="text1" w:themeShade="BF"/>
                <w:sz w:val="22"/>
                <w:szCs w:val="22"/>
                <w:vertAlign w:val="superscript"/>
                <w:lang w:val="da-DK"/>
              </w:rPr>
              <w:t>-1</w:t>
            </w:r>
          </w:p>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0,19 nb</w:t>
            </w:r>
            <w:r w:rsidRPr="0084360B">
              <w:rPr>
                <w:color w:val="000000" w:themeColor="text1" w:themeShade="BF"/>
                <w:sz w:val="22"/>
                <w:szCs w:val="22"/>
                <w:vertAlign w:val="superscript"/>
                <w:lang w:val="da-DK"/>
              </w:rPr>
              <w:t>-1</w:t>
            </w:r>
          </w:p>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 xml:space="preserve">2,70 </w:t>
            </w:r>
            <w:r w:rsidRPr="0084360B">
              <w:rPr>
                <w:rFonts w:ascii="Symbol" w:hAnsi="Symbol"/>
                <w:color w:val="000000" w:themeColor="text1" w:themeShade="BF"/>
                <w:sz w:val="22"/>
                <w:szCs w:val="22"/>
                <w:lang w:val="da-DK"/>
              </w:rPr>
              <w:t></w:t>
            </w:r>
            <w:r w:rsidRPr="0084360B">
              <w:rPr>
                <w:color w:val="000000" w:themeColor="text1" w:themeShade="BF"/>
                <w:sz w:val="22"/>
                <w:szCs w:val="22"/>
                <w:lang w:val="da-DK"/>
              </w:rPr>
              <w:t>b</w:t>
            </w:r>
            <w:r w:rsidRPr="0084360B">
              <w:rPr>
                <w:color w:val="000000" w:themeColor="text1" w:themeShade="BF"/>
                <w:sz w:val="22"/>
                <w:szCs w:val="22"/>
                <w:vertAlign w:val="superscript"/>
                <w:lang w:val="da-DK"/>
              </w:rPr>
              <w:t>-1</w:t>
            </w:r>
          </w:p>
          <w:p w:rsidR="0084360B" w:rsidRPr="0084360B" w:rsidRDefault="0084360B" w:rsidP="0084360B">
            <w:pPr>
              <w:pStyle w:val="Corpsdetexte"/>
              <w:ind w:firstLine="0"/>
              <w:jc w:val="right"/>
              <w:rPr>
                <w:color w:val="000000" w:themeColor="text1" w:themeShade="BF"/>
                <w:sz w:val="22"/>
                <w:szCs w:val="22"/>
                <w:lang w:val="da-DK"/>
              </w:rPr>
            </w:pPr>
            <w:r w:rsidRPr="0084360B">
              <w:rPr>
                <w:color w:val="000000" w:themeColor="text1" w:themeShade="BF"/>
                <w:sz w:val="22"/>
                <w:szCs w:val="22"/>
                <w:lang w:val="da-DK"/>
              </w:rPr>
              <w:t>3,80 pb</w:t>
            </w:r>
            <w:r w:rsidRPr="0084360B">
              <w:rPr>
                <w:color w:val="000000" w:themeColor="text1" w:themeShade="BF"/>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2005/2006</w:t>
            </w:r>
          </w:p>
        </w:tc>
        <w:tc>
          <w:tcPr>
            <w:tcW w:w="3071" w:type="dxa"/>
            <w:vAlign w:val="center"/>
          </w:tcPr>
          <w:p w:rsid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p+p       (200 GeV)</w:t>
            </w:r>
          </w:p>
          <w:p w:rsidR="002E2793" w:rsidRPr="0084360B" w:rsidRDefault="002E2793" w:rsidP="0084360B">
            <w:pPr>
              <w:pStyle w:val="Corpsdetexte"/>
              <w:ind w:firstLine="0"/>
              <w:jc w:val="center"/>
              <w:rPr>
                <w:color w:val="000000" w:themeColor="text1" w:themeShade="BF"/>
                <w:sz w:val="22"/>
                <w:szCs w:val="22"/>
                <w:lang w:val="da-DK"/>
              </w:rPr>
            </w:pPr>
            <w:r>
              <w:rPr>
                <w:color w:val="000000" w:themeColor="text1" w:themeShade="BF"/>
                <w:sz w:val="22"/>
                <w:szCs w:val="22"/>
                <w:lang w:val="da-DK"/>
              </w:rPr>
              <w:t>p+p          (62 GeV)</w:t>
            </w:r>
          </w:p>
        </w:tc>
        <w:tc>
          <w:tcPr>
            <w:tcW w:w="3071" w:type="dxa"/>
            <w:vAlign w:val="center"/>
          </w:tcPr>
          <w:p w:rsidR="0084360B" w:rsidRDefault="0084360B" w:rsidP="0084360B">
            <w:pPr>
              <w:pStyle w:val="Corpsdetexte"/>
              <w:ind w:firstLine="0"/>
              <w:jc w:val="right"/>
              <w:rPr>
                <w:color w:val="000000" w:themeColor="text1" w:themeShade="BF"/>
                <w:sz w:val="22"/>
                <w:szCs w:val="22"/>
                <w:vertAlign w:val="superscript"/>
                <w:lang w:val="da-DK"/>
              </w:rPr>
            </w:pPr>
            <w:r w:rsidRPr="0084360B">
              <w:rPr>
                <w:color w:val="000000" w:themeColor="text1" w:themeShade="BF"/>
                <w:sz w:val="22"/>
                <w:szCs w:val="22"/>
                <w:lang w:val="da-DK"/>
              </w:rPr>
              <w:t xml:space="preserve"> 10</w:t>
            </w:r>
            <w:r w:rsidR="007A7409">
              <w:rPr>
                <w:color w:val="000000" w:themeColor="text1" w:themeShade="BF"/>
                <w:sz w:val="22"/>
                <w:szCs w:val="22"/>
                <w:lang w:val="da-DK"/>
              </w:rPr>
              <w:t>,7</w:t>
            </w:r>
            <w:r w:rsidRPr="0084360B">
              <w:rPr>
                <w:color w:val="000000" w:themeColor="text1" w:themeShade="BF"/>
                <w:sz w:val="22"/>
                <w:szCs w:val="22"/>
                <w:lang w:val="da-DK"/>
              </w:rPr>
              <w:t xml:space="preserve"> pb</w:t>
            </w:r>
            <w:r w:rsidRPr="0084360B">
              <w:rPr>
                <w:color w:val="000000" w:themeColor="text1" w:themeShade="BF"/>
                <w:sz w:val="22"/>
                <w:szCs w:val="22"/>
                <w:vertAlign w:val="superscript"/>
                <w:lang w:val="da-DK"/>
              </w:rPr>
              <w:t>-1</w:t>
            </w:r>
          </w:p>
          <w:p w:rsidR="002E2793" w:rsidRPr="0084360B" w:rsidRDefault="002E2793" w:rsidP="0084360B">
            <w:pPr>
              <w:pStyle w:val="Corpsdetexte"/>
              <w:ind w:firstLine="0"/>
              <w:jc w:val="right"/>
              <w:rPr>
                <w:color w:val="000000" w:themeColor="text1" w:themeShade="BF"/>
                <w:sz w:val="22"/>
                <w:szCs w:val="22"/>
                <w:lang w:val="da-DK"/>
              </w:rPr>
            </w:pPr>
            <w:r w:rsidRPr="002E2793">
              <w:rPr>
                <w:color w:val="000000" w:themeColor="text1" w:themeShade="BF"/>
                <w:sz w:val="22"/>
                <w:szCs w:val="22"/>
                <w:lang w:val="da-DK"/>
              </w:rPr>
              <w:t>0,1 pb</w:t>
            </w:r>
            <w:r>
              <w:rPr>
                <w:color w:val="000000" w:themeColor="text1" w:themeShade="BF"/>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2006/2007</w:t>
            </w:r>
          </w:p>
        </w:tc>
        <w:tc>
          <w:tcPr>
            <w:tcW w:w="3071" w:type="dxa"/>
            <w:vAlign w:val="center"/>
          </w:tcPr>
          <w:p w:rsidR="0084360B" w:rsidRP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Au+Au  (200 GeV)</w:t>
            </w:r>
          </w:p>
        </w:tc>
        <w:tc>
          <w:tcPr>
            <w:tcW w:w="3071" w:type="dxa"/>
          </w:tcPr>
          <w:p w:rsidR="0084360B" w:rsidRPr="0084360B" w:rsidRDefault="002E2793" w:rsidP="0084360B">
            <w:pPr>
              <w:pStyle w:val="Corpsdetexte"/>
              <w:ind w:firstLine="0"/>
              <w:jc w:val="right"/>
              <w:rPr>
                <w:color w:val="000000" w:themeColor="text1" w:themeShade="BF"/>
                <w:sz w:val="22"/>
                <w:szCs w:val="22"/>
                <w:lang w:val="da-DK"/>
              </w:rPr>
            </w:pPr>
            <w:r>
              <w:rPr>
                <w:color w:val="000000" w:themeColor="text1" w:themeShade="BF"/>
                <w:sz w:val="22"/>
                <w:szCs w:val="22"/>
                <w:lang w:val="da-DK"/>
              </w:rPr>
              <w:t>81</w:t>
            </w:r>
            <w:r w:rsidR="0084360B" w:rsidRPr="0084360B">
              <w:rPr>
                <w:color w:val="000000" w:themeColor="text1" w:themeShade="BF"/>
                <w:sz w:val="22"/>
                <w:szCs w:val="22"/>
                <w:lang w:val="da-DK"/>
              </w:rPr>
              <w:t xml:space="preserve">0 </w:t>
            </w:r>
            <w:r w:rsidR="0084360B" w:rsidRPr="0084360B">
              <w:rPr>
                <w:rFonts w:ascii="Symbol" w:hAnsi="Symbol"/>
                <w:color w:val="000000" w:themeColor="text1" w:themeShade="BF"/>
                <w:sz w:val="22"/>
                <w:szCs w:val="22"/>
                <w:lang w:val="da-DK"/>
              </w:rPr>
              <w:t></w:t>
            </w:r>
            <w:r w:rsidR="0084360B" w:rsidRPr="0084360B">
              <w:rPr>
                <w:color w:val="000000" w:themeColor="text1" w:themeShade="BF"/>
                <w:sz w:val="22"/>
                <w:szCs w:val="22"/>
                <w:lang w:val="da-DK"/>
              </w:rPr>
              <w:t>b</w:t>
            </w:r>
            <w:r w:rsidR="0084360B" w:rsidRPr="0084360B">
              <w:rPr>
                <w:color w:val="000000" w:themeColor="text1" w:themeShade="BF"/>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2007/2008</w:t>
            </w:r>
          </w:p>
        </w:tc>
        <w:tc>
          <w:tcPr>
            <w:tcW w:w="3071" w:type="dxa"/>
            <w:vAlign w:val="center"/>
          </w:tcPr>
          <w:p w:rsidR="0084360B" w:rsidRDefault="0084360B" w:rsidP="0084360B">
            <w:pPr>
              <w:pStyle w:val="Corpsdetexte"/>
              <w:ind w:firstLine="0"/>
              <w:jc w:val="center"/>
              <w:rPr>
                <w:color w:val="000000" w:themeColor="text1" w:themeShade="BF"/>
                <w:sz w:val="22"/>
                <w:szCs w:val="22"/>
                <w:lang w:val="da-DK"/>
              </w:rPr>
            </w:pPr>
            <w:r w:rsidRPr="0084360B">
              <w:rPr>
                <w:color w:val="000000" w:themeColor="text1" w:themeShade="BF"/>
                <w:sz w:val="22"/>
                <w:szCs w:val="22"/>
                <w:lang w:val="da-DK"/>
              </w:rPr>
              <w:t>d+Au     (200 GeV)</w:t>
            </w:r>
          </w:p>
          <w:p w:rsidR="002E2793" w:rsidRPr="0084360B" w:rsidRDefault="002E2793" w:rsidP="0084360B">
            <w:pPr>
              <w:pStyle w:val="Corpsdetexte"/>
              <w:ind w:firstLine="0"/>
              <w:jc w:val="center"/>
              <w:rPr>
                <w:color w:val="000000" w:themeColor="text1" w:themeShade="BF"/>
                <w:sz w:val="22"/>
                <w:szCs w:val="22"/>
                <w:lang w:val="da-DK"/>
              </w:rPr>
            </w:pPr>
            <w:r>
              <w:rPr>
                <w:color w:val="000000" w:themeColor="text1" w:themeShade="BF"/>
                <w:sz w:val="22"/>
                <w:szCs w:val="22"/>
                <w:lang w:val="da-DK"/>
              </w:rPr>
              <w:t>p+p        (200 GeV)</w:t>
            </w:r>
          </w:p>
        </w:tc>
        <w:tc>
          <w:tcPr>
            <w:tcW w:w="3071" w:type="dxa"/>
          </w:tcPr>
          <w:p w:rsidR="0084360B" w:rsidRDefault="0084360B" w:rsidP="0084360B">
            <w:pPr>
              <w:pStyle w:val="Corpsdetexte"/>
              <w:ind w:firstLine="0"/>
              <w:jc w:val="right"/>
              <w:rPr>
                <w:color w:val="000000" w:themeColor="text1" w:themeShade="BF"/>
                <w:sz w:val="22"/>
                <w:szCs w:val="22"/>
                <w:vertAlign w:val="superscript"/>
                <w:lang w:val="da-DK"/>
              </w:rPr>
            </w:pPr>
            <w:r w:rsidRPr="0084360B">
              <w:rPr>
                <w:color w:val="000000" w:themeColor="text1" w:themeShade="BF"/>
                <w:sz w:val="22"/>
                <w:szCs w:val="22"/>
                <w:lang w:val="da-DK"/>
              </w:rPr>
              <w:t>80 nb</w:t>
            </w:r>
            <w:r w:rsidRPr="0084360B">
              <w:rPr>
                <w:color w:val="000000" w:themeColor="text1" w:themeShade="BF"/>
                <w:sz w:val="22"/>
                <w:szCs w:val="22"/>
                <w:vertAlign w:val="superscript"/>
                <w:lang w:val="da-DK"/>
              </w:rPr>
              <w:t>-1</w:t>
            </w:r>
          </w:p>
          <w:p w:rsidR="002E2793" w:rsidRPr="002E2793" w:rsidRDefault="002E2793" w:rsidP="0084360B">
            <w:pPr>
              <w:pStyle w:val="Corpsdetexte"/>
              <w:ind w:firstLine="0"/>
              <w:jc w:val="right"/>
              <w:rPr>
                <w:color w:val="000000" w:themeColor="text1" w:themeShade="BF"/>
                <w:sz w:val="22"/>
                <w:szCs w:val="22"/>
                <w:lang w:val="da-DK"/>
              </w:rPr>
            </w:pPr>
            <w:r>
              <w:rPr>
                <w:color w:val="000000" w:themeColor="text1" w:themeShade="BF"/>
                <w:sz w:val="22"/>
                <w:szCs w:val="22"/>
                <w:lang w:val="da-DK"/>
              </w:rPr>
              <w:t>5,2 pb</w:t>
            </w:r>
            <w:r w:rsidRPr="002E2793">
              <w:rPr>
                <w:color w:val="000000" w:themeColor="text1" w:themeShade="BF"/>
                <w:sz w:val="22"/>
                <w:szCs w:val="22"/>
                <w:vertAlign w:val="superscript"/>
                <w:lang w:val="da-DK"/>
              </w:rPr>
              <w:t>-1</w:t>
            </w:r>
          </w:p>
        </w:tc>
      </w:tr>
      <w:tr w:rsidR="0084360B" w:rsidRPr="00AD3F58"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2008/2009</w:t>
            </w:r>
          </w:p>
        </w:tc>
        <w:tc>
          <w:tcPr>
            <w:tcW w:w="3071" w:type="dxa"/>
            <w:vAlign w:val="center"/>
          </w:tcPr>
          <w:p w:rsidR="0084360B" w:rsidRPr="00AD3F58" w:rsidRDefault="00AD3F58" w:rsidP="0084360B">
            <w:pPr>
              <w:pStyle w:val="Corpsdetexte"/>
              <w:ind w:firstLine="0"/>
              <w:jc w:val="center"/>
              <w:rPr>
                <w:sz w:val="22"/>
                <w:szCs w:val="22"/>
                <w:lang w:val="da-DK"/>
              </w:rPr>
            </w:pPr>
            <w:r>
              <w:rPr>
                <w:sz w:val="22"/>
                <w:szCs w:val="22"/>
                <w:lang w:val="da-DK"/>
              </w:rPr>
              <w:t>p</w:t>
            </w:r>
            <w:r w:rsidR="002E2793" w:rsidRPr="00AD3F58">
              <w:rPr>
                <w:sz w:val="22"/>
                <w:szCs w:val="22"/>
                <w:lang w:val="da-DK"/>
              </w:rPr>
              <w:t xml:space="preserve">+p </w:t>
            </w:r>
            <w:r>
              <w:rPr>
                <w:sz w:val="22"/>
                <w:szCs w:val="22"/>
                <w:lang w:val="da-DK"/>
              </w:rPr>
              <w:t xml:space="preserve">       </w:t>
            </w:r>
            <w:r w:rsidR="002E2793" w:rsidRPr="00AD3F58">
              <w:rPr>
                <w:sz w:val="22"/>
                <w:szCs w:val="22"/>
                <w:lang w:val="da-DK"/>
              </w:rPr>
              <w:t>(200 GeV)</w:t>
            </w:r>
          </w:p>
          <w:p w:rsidR="002E2793" w:rsidRPr="0084360B" w:rsidRDefault="00AD3F58" w:rsidP="0084360B">
            <w:pPr>
              <w:pStyle w:val="Corpsdetexte"/>
              <w:ind w:firstLine="0"/>
              <w:jc w:val="center"/>
              <w:rPr>
                <w:b/>
                <w:color w:val="FF0000"/>
                <w:sz w:val="22"/>
                <w:szCs w:val="22"/>
                <w:lang w:val="da-DK"/>
              </w:rPr>
            </w:pPr>
            <w:r>
              <w:rPr>
                <w:sz w:val="22"/>
                <w:szCs w:val="22"/>
                <w:lang w:val="da-DK"/>
              </w:rPr>
              <w:t>p</w:t>
            </w:r>
            <w:r w:rsidR="002E2793" w:rsidRPr="00AD3F58">
              <w:rPr>
                <w:sz w:val="22"/>
                <w:szCs w:val="22"/>
                <w:lang w:val="da-DK"/>
              </w:rPr>
              <w:t xml:space="preserve">+p </w:t>
            </w:r>
            <w:r>
              <w:rPr>
                <w:sz w:val="22"/>
                <w:szCs w:val="22"/>
                <w:lang w:val="da-DK"/>
              </w:rPr>
              <w:t xml:space="preserve">       </w:t>
            </w:r>
            <w:r w:rsidR="002E2793" w:rsidRPr="00AD3F58">
              <w:rPr>
                <w:sz w:val="22"/>
                <w:szCs w:val="22"/>
                <w:lang w:val="da-DK"/>
              </w:rPr>
              <w:t>(500 GeV)</w:t>
            </w:r>
          </w:p>
        </w:tc>
        <w:tc>
          <w:tcPr>
            <w:tcW w:w="3071" w:type="dxa"/>
          </w:tcPr>
          <w:p w:rsidR="0084360B" w:rsidRDefault="00AD3F58" w:rsidP="0084360B">
            <w:pPr>
              <w:pStyle w:val="Corpsdetexte"/>
              <w:ind w:firstLine="0"/>
              <w:jc w:val="right"/>
              <w:rPr>
                <w:color w:val="000000" w:themeColor="text1" w:themeShade="BF"/>
                <w:sz w:val="22"/>
                <w:szCs w:val="22"/>
                <w:vertAlign w:val="superscript"/>
                <w:lang w:val="da-DK"/>
              </w:rPr>
            </w:pPr>
            <w:r>
              <w:rPr>
                <w:color w:val="000000" w:themeColor="text1" w:themeShade="BF"/>
                <w:sz w:val="22"/>
                <w:szCs w:val="22"/>
                <w:lang w:val="da-DK"/>
              </w:rPr>
              <w:t>8,6 pb</w:t>
            </w:r>
            <w:r w:rsidRPr="00AD3F58">
              <w:rPr>
                <w:color w:val="000000" w:themeColor="text1" w:themeShade="BF"/>
                <w:sz w:val="22"/>
                <w:szCs w:val="22"/>
                <w:vertAlign w:val="superscript"/>
                <w:lang w:val="da-DK"/>
              </w:rPr>
              <w:t>-1</w:t>
            </w:r>
          </w:p>
          <w:p w:rsidR="00AD3F58" w:rsidRPr="0084360B" w:rsidRDefault="00AD3F58" w:rsidP="0084360B">
            <w:pPr>
              <w:pStyle w:val="Corpsdetexte"/>
              <w:ind w:firstLine="0"/>
              <w:jc w:val="right"/>
              <w:rPr>
                <w:color w:val="000000" w:themeColor="text1" w:themeShade="BF"/>
                <w:sz w:val="22"/>
                <w:szCs w:val="22"/>
                <w:lang w:val="da-DK"/>
              </w:rPr>
            </w:pPr>
            <w:r w:rsidRPr="00AD3F58">
              <w:rPr>
                <w:color w:val="000000" w:themeColor="text1" w:themeShade="BF"/>
                <w:sz w:val="22"/>
                <w:szCs w:val="22"/>
                <w:lang w:val="da-DK"/>
              </w:rPr>
              <w:t>13 pb</w:t>
            </w:r>
            <w:r>
              <w:rPr>
                <w:color w:val="000000" w:themeColor="text1" w:themeShade="BF"/>
                <w:sz w:val="22"/>
                <w:szCs w:val="22"/>
                <w:vertAlign w:val="superscript"/>
                <w:lang w:val="da-DK"/>
              </w:rPr>
              <w:t>-1</w:t>
            </w:r>
          </w:p>
        </w:tc>
      </w:tr>
      <w:tr w:rsidR="0084360B" w:rsidTr="0084360B">
        <w:tc>
          <w:tcPr>
            <w:tcW w:w="3070" w:type="dxa"/>
          </w:tcPr>
          <w:p w:rsidR="0084360B" w:rsidRPr="0084360B" w:rsidRDefault="0084360B" w:rsidP="0084360B">
            <w:pPr>
              <w:pStyle w:val="Corpsdetexte"/>
              <w:ind w:firstLine="0"/>
              <w:rPr>
                <w:b/>
                <w:bCs/>
                <w:color w:val="000000" w:themeColor="text1" w:themeShade="BF"/>
                <w:sz w:val="22"/>
                <w:szCs w:val="22"/>
                <w:lang w:val="da-DK"/>
              </w:rPr>
            </w:pPr>
            <w:r w:rsidRPr="0084360B">
              <w:rPr>
                <w:b/>
                <w:bCs/>
                <w:color w:val="000000" w:themeColor="text1" w:themeShade="BF"/>
                <w:sz w:val="22"/>
                <w:szCs w:val="22"/>
                <w:lang w:val="da-DK"/>
              </w:rPr>
              <w:t>2009/2010</w:t>
            </w:r>
          </w:p>
        </w:tc>
        <w:tc>
          <w:tcPr>
            <w:tcW w:w="3071" w:type="dxa"/>
            <w:vAlign w:val="center"/>
          </w:tcPr>
          <w:p w:rsidR="0084360B" w:rsidRDefault="00AD3F58" w:rsidP="0084360B">
            <w:pPr>
              <w:pStyle w:val="Corpsdetexte"/>
              <w:ind w:firstLine="0"/>
              <w:jc w:val="center"/>
              <w:rPr>
                <w:sz w:val="22"/>
                <w:szCs w:val="22"/>
                <w:lang w:val="da-DK"/>
              </w:rPr>
            </w:pPr>
            <w:r w:rsidRPr="00AD3F58">
              <w:rPr>
                <w:sz w:val="22"/>
                <w:szCs w:val="22"/>
                <w:lang w:val="da-DK"/>
              </w:rPr>
              <w:t>Au+Au</w:t>
            </w:r>
            <w:r>
              <w:rPr>
                <w:sz w:val="22"/>
                <w:szCs w:val="22"/>
                <w:lang w:val="da-DK"/>
              </w:rPr>
              <w:t xml:space="preserve">   </w:t>
            </w:r>
            <w:r w:rsidRPr="00AD3F58">
              <w:rPr>
                <w:sz w:val="22"/>
                <w:szCs w:val="22"/>
                <w:lang w:val="da-DK"/>
              </w:rPr>
              <w:t xml:space="preserve"> (200 GeV)</w:t>
            </w:r>
          </w:p>
          <w:p w:rsidR="00AD3F58" w:rsidRDefault="00AD3F58" w:rsidP="0084360B">
            <w:pPr>
              <w:pStyle w:val="Corpsdetexte"/>
              <w:ind w:firstLine="0"/>
              <w:jc w:val="center"/>
              <w:rPr>
                <w:sz w:val="22"/>
                <w:szCs w:val="22"/>
                <w:lang w:val="da-DK"/>
              </w:rPr>
            </w:pPr>
            <w:r>
              <w:rPr>
                <w:sz w:val="22"/>
                <w:szCs w:val="22"/>
                <w:lang w:val="da-DK"/>
              </w:rPr>
              <w:t>Au+Au      (62 GeV)</w:t>
            </w:r>
          </w:p>
          <w:p w:rsidR="00AD3F58" w:rsidRDefault="00AD3F58" w:rsidP="0084360B">
            <w:pPr>
              <w:pStyle w:val="Corpsdetexte"/>
              <w:ind w:firstLine="0"/>
              <w:jc w:val="center"/>
              <w:rPr>
                <w:sz w:val="22"/>
                <w:szCs w:val="22"/>
                <w:lang w:val="da-DK"/>
              </w:rPr>
            </w:pPr>
            <w:r>
              <w:rPr>
                <w:sz w:val="22"/>
                <w:szCs w:val="22"/>
                <w:lang w:val="da-DK"/>
              </w:rPr>
              <w:t>Au+Au      (39 GeV)</w:t>
            </w:r>
          </w:p>
          <w:p w:rsidR="00AD3F58" w:rsidRPr="00AD3F58" w:rsidRDefault="00AD3F58" w:rsidP="0084360B">
            <w:pPr>
              <w:pStyle w:val="Corpsdetexte"/>
              <w:ind w:firstLine="0"/>
              <w:jc w:val="center"/>
              <w:rPr>
                <w:sz w:val="22"/>
                <w:szCs w:val="22"/>
                <w:lang w:val="da-DK"/>
              </w:rPr>
            </w:pPr>
            <w:r>
              <w:rPr>
                <w:sz w:val="22"/>
                <w:szCs w:val="22"/>
                <w:lang w:val="da-DK"/>
              </w:rPr>
              <w:t>Au+Au     (7,7 GeV)</w:t>
            </w:r>
          </w:p>
        </w:tc>
        <w:tc>
          <w:tcPr>
            <w:tcW w:w="3071" w:type="dxa"/>
          </w:tcPr>
          <w:p w:rsidR="0084360B" w:rsidRDefault="00AD3F58" w:rsidP="0084360B">
            <w:pPr>
              <w:pStyle w:val="Corpsdetexte"/>
              <w:ind w:firstLine="0"/>
              <w:jc w:val="right"/>
              <w:rPr>
                <w:color w:val="000000" w:themeColor="text1" w:themeShade="BF"/>
                <w:sz w:val="22"/>
                <w:szCs w:val="22"/>
                <w:lang w:val="da-DK"/>
              </w:rPr>
            </w:pPr>
            <w:r>
              <w:rPr>
                <w:color w:val="000000" w:themeColor="text1" w:themeShade="BF"/>
                <w:sz w:val="22"/>
                <w:szCs w:val="22"/>
                <w:lang w:val="da-DK"/>
              </w:rPr>
              <w:t>1,3 nb</w:t>
            </w:r>
            <w:r w:rsidRPr="007A7409">
              <w:rPr>
                <w:color w:val="000000" w:themeColor="text1" w:themeShade="BF"/>
                <w:sz w:val="22"/>
                <w:szCs w:val="22"/>
                <w:vertAlign w:val="superscript"/>
                <w:lang w:val="da-DK"/>
              </w:rPr>
              <w:t>-1</w:t>
            </w:r>
          </w:p>
          <w:p w:rsidR="00AD3F58" w:rsidRDefault="00AD3F58" w:rsidP="0084360B">
            <w:pPr>
              <w:pStyle w:val="Corpsdetexte"/>
              <w:ind w:firstLine="0"/>
              <w:jc w:val="right"/>
              <w:rPr>
                <w:color w:val="000000" w:themeColor="text1" w:themeShade="BF"/>
                <w:sz w:val="22"/>
                <w:szCs w:val="22"/>
                <w:lang w:val="da-DK"/>
              </w:rPr>
            </w:pPr>
            <w:r>
              <w:rPr>
                <w:color w:val="000000" w:themeColor="text1" w:themeShade="BF"/>
                <w:sz w:val="22"/>
                <w:szCs w:val="22"/>
                <w:lang w:val="da-DK"/>
              </w:rPr>
              <w:t>0,11 nb</w:t>
            </w:r>
            <w:r w:rsidRPr="007A7409">
              <w:rPr>
                <w:color w:val="000000" w:themeColor="text1" w:themeShade="BF"/>
                <w:sz w:val="22"/>
                <w:szCs w:val="22"/>
                <w:vertAlign w:val="superscript"/>
                <w:lang w:val="da-DK"/>
              </w:rPr>
              <w:t>-1</w:t>
            </w:r>
          </w:p>
          <w:p w:rsidR="00AD3F58" w:rsidRDefault="00AD3F58" w:rsidP="0084360B">
            <w:pPr>
              <w:pStyle w:val="Corpsdetexte"/>
              <w:ind w:firstLine="0"/>
              <w:jc w:val="right"/>
              <w:rPr>
                <w:color w:val="000000" w:themeColor="text1" w:themeShade="BF"/>
                <w:sz w:val="22"/>
                <w:szCs w:val="22"/>
                <w:lang w:val="da-DK"/>
              </w:rPr>
            </w:pPr>
            <w:r>
              <w:rPr>
                <w:color w:val="000000" w:themeColor="text1" w:themeShade="BF"/>
                <w:sz w:val="22"/>
                <w:szCs w:val="22"/>
                <w:lang w:val="da-DK"/>
              </w:rPr>
              <w:t xml:space="preserve">40 </w:t>
            </w:r>
            <w:r w:rsidRPr="001770D6">
              <w:rPr>
                <w:rFonts w:ascii="Symbol" w:hAnsi="Symbol"/>
                <w:color w:val="000000" w:themeColor="text1" w:themeShade="BF"/>
                <w:sz w:val="22"/>
                <w:szCs w:val="22"/>
                <w:lang w:val="da-DK"/>
              </w:rPr>
              <w:t></w:t>
            </w:r>
            <w:r>
              <w:rPr>
                <w:color w:val="000000" w:themeColor="text1" w:themeShade="BF"/>
                <w:sz w:val="22"/>
                <w:szCs w:val="22"/>
                <w:lang w:val="da-DK"/>
              </w:rPr>
              <w:t>b</w:t>
            </w:r>
            <w:r w:rsidRPr="007A7409">
              <w:rPr>
                <w:color w:val="000000" w:themeColor="text1" w:themeShade="BF"/>
                <w:sz w:val="22"/>
                <w:szCs w:val="22"/>
                <w:vertAlign w:val="superscript"/>
                <w:lang w:val="da-DK"/>
              </w:rPr>
              <w:t>-1</w:t>
            </w:r>
          </w:p>
          <w:p w:rsidR="00AD3F58" w:rsidRPr="0084360B" w:rsidRDefault="00AD3F58" w:rsidP="0084360B">
            <w:pPr>
              <w:pStyle w:val="Corpsdetexte"/>
              <w:ind w:firstLine="0"/>
              <w:jc w:val="right"/>
              <w:rPr>
                <w:color w:val="000000" w:themeColor="text1" w:themeShade="BF"/>
                <w:sz w:val="22"/>
                <w:szCs w:val="22"/>
                <w:lang w:val="da-DK"/>
              </w:rPr>
            </w:pPr>
            <w:r>
              <w:rPr>
                <w:color w:val="000000" w:themeColor="text1" w:themeShade="BF"/>
                <w:sz w:val="22"/>
                <w:szCs w:val="22"/>
                <w:lang w:val="da-DK"/>
              </w:rPr>
              <w:t xml:space="preserve">0,26 </w:t>
            </w:r>
            <w:r w:rsidRPr="001770D6">
              <w:rPr>
                <w:rFonts w:ascii="Symbol" w:hAnsi="Symbol"/>
                <w:color w:val="000000" w:themeColor="text1" w:themeShade="BF"/>
                <w:sz w:val="22"/>
                <w:szCs w:val="22"/>
                <w:lang w:val="da-DK"/>
              </w:rPr>
              <w:t></w:t>
            </w:r>
            <w:r>
              <w:rPr>
                <w:color w:val="000000" w:themeColor="text1" w:themeShade="BF"/>
                <w:sz w:val="22"/>
                <w:szCs w:val="22"/>
                <w:lang w:val="da-DK"/>
              </w:rPr>
              <w:t>b</w:t>
            </w:r>
            <w:r w:rsidRPr="007A7409">
              <w:rPr>
                <w:color w:val="000000" w:themeColor="text1" w:themeShade="BF"/>
                <w:sz w:val="22"/>
                <w:szCs w:val="22"/>
                <w:vertAlign w:val="superscript"/>
                <w:lang w:val="da-DK"/>
              </w:rPr>
              <w:t>-1</w:t>
            </w:r>
          </w:p>
        </w:tc>
      </w:tr>
    </w:tbl>
    <w:p w:rsidR="0084360B" w:rsidRDefault="0084360B" w:rsidP="0084360B">
      <w:pPr>
        <w:pStyle w:val="Lgende"/>
      </w:pPr>
      <w:bookmarkStart w:id="0" w:name="_Ref262748626"/>
      <w:r>
        <w:t xml:space="preserve">Tableau </w:t>
      </w:r>
      <w:fldSimple w:instr=" SEQ Tableau \* ARABIC ">
        <w:r w:rsidR="00FE5A86">
          <w:rPr>
            <w:noProof/>
          </w:rPr>
          <w:t>1</w:t>
        </w:r>
      </w:fldSimple>
      <w:bookmarkEnd w:id="0"/>
      <w:r>
        <w:t> : prises de données effectuées depuis le démarrage de l’expérience</w:t>
      </w:r>
    </w:p>
    <w:p w:rsidR="00AD3F58" w:rsidRDefault="00AD3F58" w:rsidP="00221A7F">
      <w:pPr>
        <w:jc w:val="both"/>
      </w:pPr>
    </w:p>
    <w:p w:rsidR="00AD3F58" w:rsidRDefault="00AD3F58" w:rsidP="00221A7F">
      <w:pPr>
        <w:jc w:val="both"/>
      </w:pPr>
    </w:p>
    <w:p w:rsidR="00DB7D23" w:rsidRDefault="00DB7D23" w:rsidP="00221A7F">
      <w:pPr>
        <w:jc w:val="both"/>
      </w:pPr>
      <w:r>
        <w:lastRenderedPageBreak/>
        <w:t>La collaboration PHENIX est constituée de près de 500 physiciens provenant de plus de 70 instituts pour 14 pays</w:t>
      </w:r>
      <w:r w:rsidR="004B3EA1">
        <w:t xml:space="preserve"> (voir </w:t>
      </w:r>
      <w:r w:rsidR="000B4253">
        <w:fldChar w:fldCharType="begin"/>
      </w:r>
      <w:r w:rsidR="004B3EA1">
        <w:instrText xml:space="preserve"> REF _Ref262747424 \h </w:instrText>
      </w:r>
      <w:r w:rsidR="000B4253">
        <w:fldChar w:fldCharType="separate"/>
      </w:r>
      <w:r w:rsidR="00FE5A86">
        <w:t xml:space="preserve">Figure </w:t>
      </w:r>
      <w:r w:rsidR="00FE5A86">
        <w:rPr>
          <w:noProof/>
        </w:rPr>
        <w:t>1</w:t>
      </w:r>
      <w:r w:rsidR="000B4253">
        <w:fldChar w:fldCharType="end"/>
      </w:r>
      <w:r w:rsidR="004B3EA1">
        <w:t>)</w:t>
      </w:r>
      <w:r>
        <w:t xml:space="preserve">. </w:t>
      </w:r>
    </w:p>
    <w:p w:rsidR="007E4001" w:rsidRDefault="007E4001" w:rsidP="004B3EA1">
      <w:pPr>
        <w:jc w:val="center"/>
      </w:pPr>
      <w:r w:rsidRPr="007E4001">
        <w:rPr>
          <w:noProof/>
          <w:lang w:eastAsia="fr-FR"/>
        </w:rPr>
        <w:drawing>
          <wp:inline distT="0" distB="0" distL="0" distR="0">
            <wp:extent cx="2771775" cy="1400175"/>
            <wp:effectExtent l="19050" t="0" r="9525" b="0"/>
            <wp:docPr id="8" name="Image 2" descr="PHENIX_inst"/>
            <wp:cNvGraphicFramePr/>
            <a:graphic xmlns:a="http://schemas.openxmlformats.org/drawingml/2006/main">
              <a:graphicData uri="http://schemas.openxmlformats.org/drawingml/2006/picture">
                <pic:pic xmlns:pic="http://schemas.openxmlformats.org/drawingml/2006/picture">
                  <pic:nvPicPr>
                    <pic:cNvPr id="2140" name="Picture 92" descr="PHENIX_inst"/>
                    <pic:cNvPicPr>
                      <a:picLocks noChangeAspect="1" noChangeArrowheads="1"/>
                    </pic:cNvPicPr>
                  </pic:nvPicPr>
                  <pic:blipFill>
                    <a:blip r:embed="rId9" cstate="print"/>
                    <a:srcRect/>
                    <a:stretch>
                      <a:fillRect/>
                    </a:stretch>
                  </pic:blipFill>
                  <pic:spPr bwMode="auto">
                    <a:xfrm>
                      <a:off x="0" y="0"/>
                      <a:ext cx="2771775" cy="1400175"/>
                    </a:xfrm>
                    <a:prstGeom prst="rect">
                      <a:avLst/>
                    </a:prstGeom>
                    <a:noFill/>
                  </pic:spPr>
                </pic:pic>
              </a:graphicData>
            </a:graphic>
          </wp:inline>
        </w:drawing>
      </w:r>
    </w:p>
    <w:p w:rsidR="004B3EA1" w:rsidRDefault="004B3EA1" w:rsidP="004B3EA1">
      <w:pPr>
        <w:pStyle w:val="Lgende"/>
        <w:jc w:val="center"/>
      </w:pPr>
      <w:bookmarkStart w:id="1" w:name="_Ref262747424"/>
      <w:r>
        <w:t xml:space="preserve">Figure </w:t>
      </w:r>
      <w:fldSimple w:instr=" SEQ Figure \* ARABIC ">
        <w:r w:rsidR="00FE5A86">
          <w:rPr>
            <w:noProof/>
          </w:rPr>
          <w:t>1</w:t>
        </w:r>
      </w:fldSimple>
      <w:bookmarkEnd w:id="1"/>
      <w:r>
        <w:t> : les 14 pays participant à la collaboration PHENIX</w:t>
      </w:r>
    </w:p>
    <w:p w:rsidR="004B3EA1" w:rsidRDefault="007E4001" w:rsidP="007E4001">
      <w:pPr>
        <w:jc w:val="both"/>
      </w:pPr>
      <w:r>
        <w:t>Les laboratoires français participant ou ayant participé à la collaboration PHENIX sont</w:t>
      </w:r>
      <w:r w:rsidR="004B3EA1">
        <w:t> :</w:t>
      </w:r>
    </w:p>
    <w:p w:rsidR="00194CF8" w:rsidRDefault="00194CF8" w:rsidP="00194CF8">
      <w:pPr>
        <w:pStyle w:val="Paragraphedeliste"/>
        <w:numPr>
          <w:ilvl w:val="0"/>
          <w:numId w:val="17"/>
        </w:numPr>
        <w:jc w:val="both"/>
      </w:pPr>
      <w:r>
        <w:t xml:space="preserve">l’IPN-Orsay (IN2P3), </w:t>
      </w:r>
    </w:p>
    <w:p w:rsidR="004B3EA1" w:rsidRDefault="007E4001" w:rsidP="004B3EA1">
      <w:pPr>
        <w:pStyle w:val="Paragraphedeliste"/>
        <w:numPr>
          <w:ilvl w:val="0"/>
          <w:numId w:val="17"/>
        </w:numPr>
        <w:jc w:val="both"/>
      </w:pPr>
      <w:r>
        <w:t>le LLR – École polytechnique</w:t>
      </w:r>
      <w:r w:rsidR="004B3EA1">
        <w:t xml:space="preserve"> (IN2P3)</w:t>
      </w:r>
      <w:r>
        <w:t xml:space="preserve">, </w:t>
      </w:r>
    </w:p>
    <w:p w:rsidR="004B3EA1" w:rsidRDefault="007E4001" w:rsidP="004B3EA1">
      <w:pPr>
        <w:pStyle w:val="Paragraphedeliste"/>
        <w:numPr>
          <w:ilvl w:val="0"/>
          <w:numId w:val="17"/>
        </w:numPr>
        <w:jc w:val="both"/>
      </w:pPr>
      <w:r>
        <w:t>le LPC – Clermont-</w:t>
      </w:r>
      <w:proofErr w:type="spellStart"/>
      <w:r>
        <w:t>Fd</w:t>
      </w:r>
      <w:proofErr w:type="spellEnd"/>
      <w:r w:rsidR="004B3EA1">
        <w:t xml:space="preserve"> (IN2P3)</w:t>
      </w:r>
      <w:r>
        <w:t xml:space="preserve">, </w:t>
      </w:r>
    </w:p>
    <w:p w:rsidR="004B3EA1" w:rsidRDefault="007E3623" w:rsidP="004B3EA1">
      <w:pPr>
        <w:pStyle w:val="Paragraphedeliste"/>
        <w:numPr>
          <w:ilvl w:val="0"/>
          <w:numId w:val="17"/>
        </w:numPr>
        <w:jc w:val="both"/>
      </w:pPr>
      <w:r>
        <w:t>S</w:t>
      </w:r>
      <w:r w:rsidR="007E4001">
        <w:t>UBATECH-Nantes</w:t>
      </w:r>
      <w:r w:rsidR="004B3EA1">
        <w:t xml:space="preserve"> (IN2P3),</w:t>
      </w:r>
    </w:p>
    <w:p w:rsidR="004B3EA1" w:rsidRDefault="004B3EA1" w:rsidP="004B3EA1">
      <w:pPr>
        <w:pStyle w:val="Paragraphedeliste"/>
        <w:numPr>
          <w:ilvl w:val="0"/>
          <w:numId w:val="17"/>
        </w:numPr>
        <w:jc w:val="both"/>
      </w:pPr>
      <w:proofErr w:type="spellStart"/>
      <w:r>
        <w:t>SPhN</w:t>
      </w:r>
      <w:proofErr w:type="spellEnd"/>
      <w:r>
        <w:t>-DAPNIA</w:t>
      </w:r>
      <w:r w:rsidR="003126A8">
        <w:rPr>
          <w:rStyle w:val="Appelnotedebasdep"/>
        </w:rPr>
        <w:footnoteReference w:id="1"/>
      </w:r>
      <w:r>
        <w:t xml:space="preserve"> (</w:t>
      </w:r>
      <w:r w:rsidR="007E4001">
        <w:t>CEA-Saclay</w:t>
      </w:r>
      <w:r>
        <w:t>)</w:t>
      </w:r>
      <w:r w:rsidR="007E3623">
        <w:t xml:space="preserve"> </w:t>
      </w:r>
    </w:p>
    <w:p w:rsidR="007E4001" w:rsidRDefault="007E3623" w:rsidP="004B3EA1">
      <w:pPr>
        <w:jc w:val="both"/>
      </w:pPr>
      <w:r>
        <w:t>Historiquement, un an après</w:t>
      </w:r>
      <w:r w:rsidR="00E75983">
        <w:t xml:space="preserve"> que le laboratoire SUBATECH a</w:t>
      </w:r>
      <w:r>
        <w:t xml:space="preserve"> intégré seul la collaboration</w:t>
      </w:r>
      <w:r w:rsidR="0035684A">
        <w:t xml:space="preserve"> PHENIX</w:t>
      </w:r>
      <w:r>
        <w:t>,</w:t>
      </w:r>
      <w:r w:rsidR="004B3EA1">
        <w:t xml:space="preserve"> en 2000,</w:t>
      </w:r>
      <w:r>
        <w:t xml:space="preserve"> une collaboration PHENIX-France incluant les autres laboratoi</w:t>
      </w:r>
      <w:r w:rsidR="004B3EA1">
        <w:t>res précités sous l’égide de l’I</w:t>
      </w:r>
      <w:r>
        <w:t xml:space="preserve">N2P3 et du CEA a intégré la collaboration PHENIX. Le laboratoire SUBATECH </w:t>
      </w:r>
      <w:r w:rsidR="00082E77">
        <w:t>est membre « dormant » de la collaboration et a cessé de participer aux campagnes de prise de données à la fin de l’année 2006</w:t>
      </w:r>
      <w:r>
        <w:t xml:space="preserve">. </w:t>
      </w:r>
      <w:r w:rsidR="005B1511">
        <w:t>D</w:t>
      </w:r>
      <w:r w:rsidR="006E4528">
        <w:t>’une vingtaine</w:t>
      </w:r>
      <w:r w:rsidR="005B1511">
        <w:t xml:space="preserve"> </w:t>
      </w:r>
      <w:r w:rsidR="00205C06">
        <w:t xml:space="preserve">de </w:t>
      </w:r>
      <w:r w:rsidR="005B1511">
        <w:t>physiciens permanents au plus fort de l’activité PHENIX-France,</w:t>
      </w:r>
      <w:r>
        <w:t xml:space="preserve"> 7 physiciens français continuent </w:t>
      </w:r>
      <w:r w:rsidR="005B1511">
        <w:t xml:space="preserve">aujourd’hui </w:t>
      </w:r>
      <w:r>
        <w:t xml:space="preserve">à contribuer à l’effort français : </w:t>
      </w:r>
      <w:r w:rsidR="008A196B">
        <w:t xml:space="preserve">Denis </w:t>
      </w:r>
      <w:proofErr w:type="spellStart"/>
      <w:r w:rsidR="008A196B">
        <w:t>Jouan</w:t>
      </w:r>
      <w:proofErr w:type="spellEnd"/>
      <w:r w:rsidR="008A196B">
        <w:t xml:space="preserve"> pour l’IPN – Orsay, </w:t>
      </w:r>
      <w:r>
        <w:t xml:space="preserve">Olivier Drapier, Frédéric Fleuret, Michel Gonin, Raphaël </w:t>
      </w:r>
      <w:proofErr w:type="spellStart"/>
      <w:r>
        <w:t>Granier</w:t>
      </w:r>
      <w:proofErr w:type="spellEnd"/>
      <w:r>
        <w:t xml:space="preserve"> de Cassagnac pour le LLR</w:t>
      </w:r>
      <w:r w:rsidR="008A196B">
        <w:t xml:space="preserve"> – Palaiseau</w:t>
      </w:r>
      <w:r>
        <w:t xml:space="preserve">, Guy Roche </w:t>
      </w:r>
      <w:r w:rsidR="003126A8">
        <w:t>pour le LPC – Clermont-</w:t>
      </w:r>
      <w:proofErr w:type="spellStart"/>
      <w:r w:rsidR="003126A8">
        <w:t>Fd</w:t>
      </w:r>
      <w:proofErr w:type="spellEnd"/>
      <w:r>
        <w:t xml:space="preserve"> et Hugo </w:t>
      </w:r>
      <w:proofErr w:type="spellStart"/>
      <w:r>
        <w:t>Perreira</w:t>
      </w:r>
      <w:proofErr w:type="spellEnd"/>
      <w:r>
        <w:t xml:space="preserve"> da Costa (actuellement au LANL</w:t>
      </w:r>
      <w:r w:rsidR="008A196B">
        <w:t xml:space="preserve"> – </w:t>
      </w:r>
      <w:r>
        <w:t xml:space="preserve">New Mexico) pour le </w:t>
      </w:r>
      <w:proofErr w:type="spellStart"/>
      <w:r>
        <w:t>SP</w:t>
      </w:r>
      <w:r w:rsidR="008A196B">
        <w:t>hN</w:t>
      </w:r>
      <w:proofErr w:type="spellEnd"/>
      <w:r w:rsidR="008A196B">
        <w:t xml:space="preserve"> – </w:t>
      </w:r>
      <w:r>
        <w:t>Saclay.</w:t>
      </w:r>
    </w:p>
    <w:p w:rsidR="004B3EA1" w:rsidRDefault="00221A7F" w:rsidP="007E4001">
      <w:pPr>
        <w:jc w:val="both"/>
      </w:pPr>
      <w:r>
        <w:t xml:space="preserve">Le détecteur PHENIX </w:t>
      </w:r>
      <w:r w:rsidR="004B3EA1">
        <w:t>(</w:t>
      </w:r>
      <w:r w:rsidR="000B4253">
        <w:fldChar w:fldCharType="begin"/>
      </w:r>
      <w:r w:rsidR="004B3EA1">
        <w:instrText xml:space="preserve"> REF _Ref262747595 \h </w:instrText>
      </w:r>
      <w:r w:rsidR="000B4253">
        <w:fldChar w:fldCharType="separate"/>
      </w:r>
      <w:r w:rsidR="00FE5A86">
        <w:t xml:space="preserve">Figure </w:t>
      </w:r>
      <w:r w:rsidR="00FE5A86">
        <w:rPr>
          <w:noProof/>
        </w:rPr>
        <w:t>2</w:t>
      </w:r>
      <w:r w:rsidR="000B4253">
        <w:fldChar w:fldCharType="end"/>
      </w:r>
      <w:r w:rsidR="004B3EA1">
        <w:t xml:space="preserve">) </w:t>
      </w:r>
      <w:r>
        <w:t>est constitué de deux spectromètres centraux (est et ouest) pour la reconstruction et l’identification des hadrons, des électrons et des photons ainsi que de deux spectromètres avant et arrière (nord et sud) permettant l’identification et la reconstruction des muons. Des détecteurs globaux viennent compléter l’appareillage pour assurer le déclenchement au minimum de biais et la caractérisation des collisions d’ions lourds</w:t>
      </w:r>
      <w:r w:rsidR="00941F99">
        <w:rPr>
          <w:rStyle w:val="Appelnotedebasdep"/>
        </w:rPr>
        <w:footnoteReference w:id="2"/>
      </w:r>
      <w:r>
        <w:t xml:space="preserve">. </w:t>
      </w:r>
    </w:p>
    <w:p w:rsidR="004B3EA1" w:rsidRDefault="004B3EA1" w:rsidP="007E4001">
      <w:pPr>
        <w:jc w:val="both"/>
      </w:pPr>
    </w:p>
    <w:p w:rsidR="004B3EA1" w:rsidRDefault="004B3EA1" w:rsidP="004B3EA1">
      <w:pPr>
        <w:jc w:val="center"/>
      </w:pPr>
      <w:r w:rsidRPr="004B3EA1">
        <w:rPr>
          <w:noProof/>
          <w:lang w:eastAsia="fr-FR"/>
        </w:rPr>
        <w:lastRenderedPageBreak/>
        <w:drawing>
          <wp:inline distT="0" distB="0" distL="0" distR="0">
            <wp:extent cx="2962275" cy="2266950"/>
            <wp:effectExtent l="19050" t="0" r="9525" b="0"/>
            <wp:docPr id="17" name="Image 7" descr="Phenix_2008.BeamView.jpg"/>
            <wp:cNvGraphicFramePr/>
            <a:graphic xmlns:a="http://schemas.openxmlformats.org/drawingml/2006/main">
              <a:graphicData uri="http://schemas.openxmlformats.org/drawingml/2006/picture">
                <pic:pic xmlns:pic="http://schemas.openxmlformats.org/drawingml/2006/picture">
                  <pic:nvPicPr>
                    <pic:cNvPr id="9220" name="Picture 4" descr="Phenix_2008.BeamView.jpg"/>
                    <pic:cNvPicPr>
                      <a:picLocks noChangeAspect="1"/>
                    </pic:cNvPicPr>
                  </pic:nvPicPr>
                  <pic:blipFill>
                    <a:blip r:embed="rId10" cstate="print"/>
                    <a:srcRect/>
                    <a:stretch>
                      <a:fillRect/>
                    </a:stretch>
                  </pic:blipFill>
                  <pic:spPr bwMode="auto">
                    <a:xfrm>
                      <a:off x="0" y="0"/>
                      <a:ext cx="2962275" cy="2266950"/>
                    </a:xfrm>
                    <a:prstGeom prst="rect">
                      <a:avLst/>
                    </a:prstGeom>
                    <a:noFill/>
                    <a:ln w="9525">
                      <a:noFill/>
                      <a:miter lim="800000"/>
                      <a:headEnd/>
                      <a:tailEnd/>
                    </a:ln>
                  </pic:spPr>
                </pic:pic>
              </a:graphicData>
            </a:graphic>
          </wp:inline>
        </w:drawing>
      </w:r>
    </w:p>
    <w:p w:rsidR="004B3EA1" w:rsidRDefault="004B3EA1" w:rsidP="007E4001">
      <w:pPr>
        <w:jc w:val="both"/>
      </w:pPr>
    </w:p>
    <w:p w:rsidR="007E4001" w:rsidRDefault="007E4001" w:rsidP="004B3EA1">
      <w:pPr>
        <w:jc w:val="center"/>
      </w:pPr>
      <w:r w:rsidRPr="007E4001">
        <w:rPr>
          <w:noProof/>
          <w:lang w:eastAsia="fr-FR"/>
        </w:rPr>
        <w:drawing>
          <wp:inline distT="0" distB="0" distL="0" distR="0">
            <wp:extent cx="3133725" cy="1790700"/>
            <wp:effectExtent l="19050" t="0" r="0" b="0"/>
            <wp:docPr id="9" name="Image 1" descr="Phenix_2008.SideView.jpg"/>
            <wp:cNvGraphicFramePr/>
            <a:graphic xmlns:a="http://schemas.openxmlformats.org/drawingml/2006/main">
              <a:graphicData uri="http://schemas.openxmlformats.org/drawingml/2006/picture">
                <pic:pic xmlns:pic="http://schemas.openxmlformats.org/drawingml/2006/picture">
                  <pic:nvPicPr>
                    <pic:cNvPr id="9221" name="Picture 5" descr="Phenix_2008.SideView.jpg"/>
                    <pic:cNvPicPr>
                      <a:picLocks noChangeAspect="1"/>
                    </pic:cNvPicPr>
                  </pic:nvPicPr>
                  <pic:blipFill>
                    <a:blip r:embed="rId11" cstate="print"/>
                    <a:srcRect/>
                    <a:stretch>
                      <a:fillRect/>
                    </a:stretch>
                  </pic:blipFill>
                  <pic:spPr bwMode="auto">
                    <a:xfrm>
                      <a:off x="0" y="0"/>
                      <a:ext cx="3137161" cy="1792664"/>
                    </a:xfrm>
                    <a:prstGeom prst="rect">
                      <a:avLst/>
                    </a:prstGeom>
                    <a:noFill/>
                    <a:ln w="9525">
                      <a:noFill/>
                      <a:miter lim="800000"/>
                      <a:headEnd/>
                      <a:tailEnd/>
                    </a:ln>
                  </pic:spPr>
                </pic:pic>
              </a:graphicData>
            </a:graphic>
          </wp:inline>
        </w:drawing>
      </w:r>
    </w:p>
    <w:p w:rsidR="00B735F5" w:rsidRPr="00B735F5" w:rsidRDefault="004B3EA1" w:rsidP="00B735F5">
      <w:pPr>
        <w:pStyle w:val="Lgende"/>
        <w:jc w:val="center"/>
      </w:pPr>
      <w:bookmarkStart w:id="2" w:name="_Ref262747595"/>
      <w:r>
        <w:t xml:space="preserve">Figure </w:t>
      </w:r>
      <w:fldSimple w:instr=" SEQ Figure \* ARABIC ">
        <w:r w:rsidR="00FE5A86">
          <w:rPr>
            <w:noProof/>
          </w:rPr>
          <w:t>2</w:t>
        </w:r>
      </w:fldSimple>
      <w:bookmarkEnd w:id="2"/>
      <w:r>
        <w:t> : le détecteur PHENIX</w:t>
      </w:r>
    </w:p>
    <w:p w:rsidR="00B735F5" w:rsidRDefault="004B3EA1" w:rsidP="007E4001">
      <w:pPr>
        <w:jc w:val="both"/>
      </w:pPr>
      <w:r>
        <w:t xml:space="preserve">Un « upgrade » majeur est en cours avec l’installation d’un détecteur de vertex </w:t>
      </w:r>
      <w:r w:rsidR="00B735F5">
        <w:t>(</w:t>
      </w:r>
      <w:r w:rsidR="000B4253">
        <w:fldChar w:fldCharType="begin"/>
      </w:r>
      <w:r w:rsidR="00B735F5">
        <w:instrText xml:space="preserve"> REF _Ref262655369 \h </w:instrText>
      </w:r>
      <w:r w:rsidR="000B4253">
        <w:fldChar w:fldCharType="separate"/>
      </w:r>
      <w:r w:rsidR="00FE5A86">
        <w:t xml:space="preserve">Figure </w:t>
      </w:r>
      <w:r w:rsidR="00FE5A86">
        <w:rPr>
          <w:noProof/>
        </w:rPr>
        <w:t>3</w:t>
      </w:r>
      <w:r w:rsidR="000B4253">
        <w:fldChar w:fldCharType="end"/>
      </w:r>
      <w:r w:rsidR="00B735F5">
        <w:t xml:space="preserve">) </w:t>
      </w:r>
      <w:r>
        <w:t>couvrant à la fois la partie centrale du détecteur</w:t>
      </w:r>
      <w:r w:rsidR="001E6FE2">
        <w:rPr>
          <w:rStyle w:val="Appelnotedebasdep"/>
        </w:rPr>
        <w:footnoteReference w:id="3"/>
      </w:r>
      <w:r>
        <w:t xml:space="preserve"> et la région en </w:t>
      </w:r>
      <w:proofErr w:type="spellStart"/>
      <w:r>
        <w:t>acceptance</w:t>
      </w:r>
      <w:proofErr w:type="spellEnd"/>
      <w:r>
        <w:t xml:space="preserve"> couverte par le spectromètre à muons</w:t>
      </w:r>
      <w:r w:rsidR="001E6FE2">
        <w:rPr>
          <w:rStyle w:val="Appelnotedebasdep"/>
        </w:rPr>
        <w:footnoteReference w:id="4"/>
      </w:r>
      <w:r>
        <w:t>. L’installation de la partie centrale est prévue pour l’automne 2010, celle des parties avant pour l’automne 2011.</w:t>
      </w:r>
    </w:p>
    <w:p w:rsidR="004B3EA1" w:rsidRDefault="00B735F5" w:rsidP="00B735F5">
      <w:pPr>
        <w:jc w:val="center"/>
      </w:pPr>
      <w:r w:rsidRPr="00B735F5">
        <w:rPr>
          <w:noProof/>
          <w:lang w:eastAsia="fr-FR"/>
        </w:rPr>
        <w:drawing>
          <wp:inline distT="0" distB="0" distL="0" distR="0">
            <wp:extent cx="3514725" cy="2190750"/>
            <wp:effectExtent l="0" t="0" r="0" b="0"/>
            <wp:docPr id="19" name="Image 1" descr="svtx top assembly 21 12-13-2006"/>
            <wp:cNvGraphicFramePr/>
            <a:graphic xmlns:a="http://schemas.openxmlformats.org/drawingml/2006/main">
              <a:graphicData uri="http://schemas.openxmlformats.org/drawingml/2006/picture">
                <pic:pic xmlns:pic="http://schemas.openxmlformats.org/drawingml/2006/picture">
                  <pic:nvPicPr>
                    <pic:cNvPr id="197642" name="Picture 10" descr="svtx top assembly 21 12-13-2006"/>
                    <pic:cNvPicPr>
                      <a:picLocks noChangeAspect="1" noChangeArrowheads="1"/>
                    </pic:cNvPicPr>
                  </pic:nvPicPr>
                  <pic:blipFill>
                    <a:blip r:embed="rId12" cstate="print">
                      <a:clrChange>
                        <a:clrFrom>
                          <a:srgbClr val="FFFFFF"/>
                        </a:clrFrom>
                        <a:clrTo>
                          <a:srgbClr val="FFFFFF">
                            <a:alpha val="0"/>
                          </a:srgbClr>
                        </a:clrTo>
                      </a:clrChange>
                      <a:lum contrast="-6000"/>
                    </a:blip>
                    <a:srcRect/>
                    <a:stretch>
                      <a:fillRect/>
                    </a:stretch>
                  </pic:blipFill>
                  <pic:spPr bwMode="auto">
                    <a:xfrm>
                      <a:off x="0" y="0"/>
                      <a:ext cx="3517482" cy="2192468"/>
                    </a:xfrm>
                    <a:prstGeom prst="rect">
                      <a:avLst/>
                    </a:prstGeom>
                    <a:noFill/>
                  </pic:spPr>
                </pic:pic>
              </a:graphicData>
            </a:graphic>
          </wp:inline>
        </w:drawing>
      </w:r>
    </w:p>
    <w:p w:rsidR="00B735F5" w:rsidRDefault="00B735F5" w:rsidP="00B735F5">
      <w:pPr>
        <w:pStyle w:val="Lgende"/>
        <w:jc w:val="center"/>
      </w:pPr>
      <w:bookmarkStart w:id="3" w:name="_Ref262655369"/>
      <w:r>
        <w:t xml:space="preserve">Figure </w:t>
      </w:r>
      <w:fldSimple w:instr=" SEQ Figure \* ARABIC ">
        <w:r w:rsidR="00FE5A86">
          <w:rPr>
            <w:noProof/>
          </w:rPr>
          <w:t>3</w:t>
        </w:r>
      </w:fldSimple>
      <w:bookmarkEnd w:id="3"/>
      <w:r>
        <w:t xml:space="preserve"> : le détecteur à pixels de silicium en cours de construction dans </w:t>
      </w:r>
      <w:proofErr w:type="spellStart"/>
      <w:r>
        <w:t>Phenix</w:t>
      </w:r>
      <w:proofErr w:type="spellEnd"/>
      <w:r>
        <w:t>.</w:t>
      </w:r>
    </w:p>
    <w:p w:rsidR="00B735F5" w:rsidRDefault="00B735F5" w:rsidP="007E4001">
      <w:pPr>
        <w:jc w:val="both"/>
      </w:pPr>
    </w:p>
    <w:p w:rsidR="007E4001" w:rsidRDefault="007E4001" w:rsidP="007E4001">
      <w:pPr>
        <w:jc w:val="both"/>
      </w:pPr>
      <w:r>
        <w:t>La contribution française à l’appareillage a consisté</w:t>
      </w:r>
      <w:r w:rsidR="00776D29">
        <w:t>, d’une part,</w:t>
      </w:r>
      <w:r>
        <w:t xml:space="preserve"> en la production, l’installation et la maintenance d’une partie des cartes « front-end » de l’électro</w:t>
      </w:r>
      <w:r w:rsidR="00FB107A">
        <w:t>nique d</w:t>
      </w:r>
      <w:r w:rsidR="00776D29">
        <w:t>u spectromètre à muons ; c</w:t>
      </w:r>
      <w:r>
        <w:t xml:space="preserve">ette activité démarrée en 2000 s’est terminée </w:t>
      </w:r>
      <w:r w:rsidR="008402F8">
        <w:t>fin</w:t>
      </w:r>
      <w:r w:rsidR="00FB107A">
        <w:t xml:space="preserve"> 2006 </w:t>
      </w:r>
      <w:r>
        <w:t xml:space="preserve">avec la fin du MOU signé avec Brookhaven. </w:t>
      </w:r>
      <w:r w:rsidR="00776D29">
        <w:t xml:space="preserve">D’autre part, nous nous sommes </w:t>
      </w:r>
      <w:proofErr w:type="gramStart"/>
      <w:r w:rsidR="00776D29">
        <w:t>engagés</w:t>
      </w:r>
      <w:proofErr w:type="gramEnd"/>
      <w:r w:rsidR="00776D29">
        <w:t xml:space="preserve"> dans la conception et la réalisation de</w:t>
      </w:r>
      <w:r w:rsidR="006E4528">
        <w:t>s</w:t>
      </w:r>
      <w:r w:rsidR="00776D29">
        <w:t xml:space="preserve"> carte</w:t>
      </w:r>
      <w:r w:rsidR="006E4528">
        <w:t>s</w:t>
      </w:r>
      <w:r w:rsidR="00776D29">
        <w:t xml:space="preserve"> d’interface pour le détecteur de vertex central ; la production et les test</w:t>
      </w:r>
      <w:r w:rsidR="006E4528">
        <w:t>s</w:t>
      </w:r>
      <w:r w:rsidR="00776D29">
        <w:t xml:space="preserve"> des cartes sont terminés ; les cartes ont été envoyées à Brookhaven en début d’année 2010 et devraient être installées sur le détecteur à l’été.</w:t>
      </w:r>
    </w:p>
    <w:p w:rsidR="007E3623" w:rsidRPr="00DB7D23" w:rsidRDefault="007E3623" w:rsidP="007E4001">
      <w:pPr>
        <w:jc w:val="both"/>
      </w:pPr>
      <w:r>
        <w:t xml:space="preserve">La contribution française aux analyses de physique s’est portée sur l’étude des mésons neutres et des photons pour SUBATECH, </w:t>
      </w:r>
      <w:r w:rsidR="008402F8">
        <w:t xml:space="preserve">des </w:t>
      </w:r>
      <w:proofErr w:type="spellStart"/>
      <w:r w:rsidR="008402F8">
        <w:t>dimuons</w:t>
      </w:r>
      <w:proofErr w:type="spellEnd"/>
      <w:r w:rsidR="008402F8">
        <w:t xml:space="preserve"> et </w:t>
      </w:r>
      <w:proofErr w:type="spellStart"/>
      <w:r w:rsidR="008402F8">
        <w:t>diélectrons</w:t>
      </w:r>
      <w:proofErr w:type="spellEnd"/>
      <w:r w:rsidR="008402F8">
        <w:t xml:space="preserve"> pour le LLR,</w:t>
      </w:r>
      <w:r>
        <w:t xml:space="preserve"> des </w:t>
      </w:r>
      <w:proofErr w:type="spellStart"/>
      <w:r>
        <w:t>dimuons</w:t>
      </w:r>
      <w:proofErr w:type="spellEnd"/>
      <w:r>
        <w:t xml:space="preserve"> pour les autres laboratoires français.</w:t>
      </w:r>
    </w:p>
    <w:p w:rsidR="00F20365" w:rsidRDefault="00F20365" w:rsidP="00F20365">
      <w:pPr>
        <w:pStyle w:val="Titre1"/>
        <w:numPr>
          <w:ilvl w:val="0"/>
          <w:numId w:val="1"/>
        </w:numPr>
      </w:pPr>
      <w:r>
        <w:t>Activités instrumentales</w:t>
      </w:r>
    </w:p>
    <w:p w:rsidR="00F20365" w:rsidRDefault="00F20365" w:rsidP="00F20365">
      <w:pPr>
        <w:pStyle w:val="Titre2"/>
        <w:numPr>
          <w:ilvl w:val="1"/>
          <w:numId w:val="1"/>
        </w:numPr>
      </w:pPr>
      <w:r>
        <w:t>Le « front-end » électronique du spectromètre à muons</w:t>
      </w:r>
    </w:p>
    <w:p w:rsidR="007142F6" w:rsidRDefault="007142F6" w:rsidP="00B15C9C">
      <w:pPr>
        <w:jc w:val="both"/>
      </w:pPr>
      <w:r>
        <w:t>La première contribution instrumentale de la communauté française dans PHENIX a consisté</w:t>
      </w:r>
      <w:r w:rsidR="00082B1E">
        <w:t>, à partir de juillet 2000,</w:t>
      </w:r>
      <w:r>
        <w:t xml:space="preserve"> à produire </w:t>
      </w:r>
      <w:r w:rsidR="00B15C9C">
        <w:t xml:space="preserve">l’électronique de lecture « front-end » du bras nord du </w:t>
      </w:r>
      <w:proofErr w:type="spellStart"/>
      <w:r w:rsidR="00B15C9C">
        <w:t>trajectographe</w:t>
      </w:r>
      <w:proofErr w:type="spellEnd"/>
      <w:r w:rsidR="00B15C9C">
        <w:t xml:space="preserve"> à muons. Il s’agissait de produire 480 cartes analogiques CROC </w:t>
      </w:r>
      <w:r w:rsidR="00BD2DA3">
        <w:t xml:space="preserve">(Cathode Read-Out Card) </w:t>
      </w:r>
      <w:r w:rsidR="00B15C9C">
        <w:t>permettant l’amplification, la mise en mémoire et la numérisation des données, 230 cartes numériques contrôleur permettant la mise en tampon avant transfert vers l’acquisition, 250 cartes interface ARCNET pour assurer les configurations des composants, le monitoring des températures et courants sur les cartes et 130 cartes de fond de panier pour les échanges d’information entre les différentes cartes. Le financement</w:t>
      </w:r>
      <w:r w:rsidR="006E4528">
        <w:t>, pour un montant total de 375</w:t>
      </w:r>
      <w:r w:rsidR="0084360B">
        <w:t xml:space="preserve"> k€ </w:t>
      </w:r>
      <w:r w:rsidR="00B15C9C">
        <w:t xml:space="preserve">a été assuré par l’IN2P3 </w:t>
      </w:r>
      <w:r w:rsidR="00121CB6">
        <w:t>(</w:t>
      </w:r>
      <w:r w:rsidR="006E4528">
        <w:t>300 k€</w:t>
      </w:r>
      <w:r w:rsidR="00121CB6">
        <w:t xml:space="preserve">) </w:t>
      </w:r>
      <w:r w:rsidR="00B15C9C">
        <w:t>et le CEA</w:t>
      </w:r>
      <w:r w:rsidR="00121CB6">
        <w:t xml:space="preserve"> (</w:t>
      </w:r>
      <w:r w:rsidR="006E4528">
        <w:t>75 k€</w:t>
      </w:r>
      <w:r w:rsidR="00121CB6">
        <w:t>)</w:t>
      </w:r>
      <w:r w:rsidR="00B15C9C">
        <w:t xml:space="preserve">, à l’exception des cartes ARCNET </w:t>
      </w:r>
      <w:r w:rsidR="006E4528">
        <w:t xml:space="preserve">(40 k€) </w:t>
      </w:r>
      <w:r w:rsidR="00B15C9C">
        <w:t>qui ont été fournies par des laboratoires coréens avec lesquels nous avions initié une collaboration.</w:t>
      </w:r>
    </w:p>
    <w:p w:rsidR="00B15C9C" w:rsidRDefault="00B15C9C" w:rsidP="00776D29">
      <w:pPr>
        <w:jc w:val="center"/>
      </w:pPr>
      <w:r w:rsidRPr="00B15C9C">
        <w:rPr>
          <w:noProof/>
          <w:lang w:eastAsia="fr-FR"/>
        </w:rPr>
        <w:drawing>
          <wp:inline distT="0" distB="0" distL="0" distR="0">
            <wp:extent cx="3162300" cy="2214562"/>
            <wp:effectExtent l="19050" t="0" r="0" b="0"/>
            <wp:docPr id="5" name="Image 3" descr="Chassis(small)"/>
            <wp:cNvGraphicFramePr/>
            <a:graphic xmlns:a="http://schemas.openxmlformats.org/drawingml/2006/main">
              <a:graphicData uri="http://schemas.openxmlformats.org/drawingml/2006/picture">
                <pic:pic xmlns:pic="http://schemas.openxmlformats.org/drawingml/2006/picture">
                  <pic:nvPicPr>
                    <pic:cNvPr id="5130" name="Picture 6" descr="Chassis(small)"/>
                    <pic:cNvPicPr>
                      <a:picLocks noChangeAspect="1" noChangeArrowheads="1"/>
                    </pic:cNvPicPr>
                  </pic:nvPicPr>
                  <pic:blipFill>
                    <a:blip r:embed="rId13" cstate="print"/>
                    <a:srcRect/>
                    <a:stretch>
                      <a:fillRect/>
                    </a:stretch>
                  </pic:blipFill>
                  <pic:spPr bwMode="auto">
                    <a:xfrm>
                      <a:off x="0" y="0"/>
                      <a:ext cx="3162300" cy="2214562"/>
                    </a:xfrm>
                    <a:prstGeom prst="rect">
                      <a:avLst/>
                    </a:prstGeom>
                    <a:noFill/>
                    <a:ln w="9525">
                      <a:noFill/>
                      <a:miter lim="800000"/>
                      <a:headEnd/>
                      <a:tailEnd/>
                    </a:ln>
                  </pic:spPr>
                </pic:pic>
              </a:graphicData>
            </a:graphic>
          </wp:inline>
        </w:drawing>
      </w:r>
    </w:p>
    <w:p w:rsidR="00B15C9C" w:rsidRDefault="00B15C9C" w:rsidP="00B15C9C">
      <w:pPr>
        <w:pStyle w:val="Lgende"/>
      </w:pPr>
      <w:r>
        <w:t xml:space="preserve">Figure </w:t>
      </w:r>
      <w:fldSimple w:instr=" SEQ Figure \* ARABIC ">
        <w:r w:rsidR="00FE5A86">
          <w:rPr>
            <w:noProof/>
          </w:rPr>
          <w:t>4</w:t>
        </w:r>
      </w:fldSimple>
      <w:r>
        <w:t> : un panier contenant 4 cartes CROC, 2 cartes contrôleur, 2 cartes ARCNET et une carte de fond de panier</w:t>
      </w:r>
    </w:p>
    <w:p w:rsidR="00B15C9C" w:rsidRDefault="00082B1E" w:rsidP="00851A4B">
      <w:pPr>
        <w:jc w:val="both"/>
      </w:pPr>
      <w:r>
        <w:t>Pour mener à bien cette production, nous avons dans un premier temps participé aux tests et à l’installation de l’électronique du bras sud du détecteur</w:t>
      </w:r>
      <w:r w:rsidR="000623B7">
        <w:t>. La production de l’ensemble des cartes a été achevée au premier trimestre 2002 et l</w:t>
      </w:r>
      <w:r w:rsidR="00851A4B">
        <w:t>’</w:t>
      </w:r>
      <w:r w:rsidR="000623B7">
        <w:t xml:space="preserve">installation s’est déroulée durant l’été 2002. </w:t>
      </w:r>
    </w:p>
    <w:p w:rsidR="000623B7" w:rsidRDefault="00D0119A" w:rsidP="00851A4B">
      <w:pPr>
        <w:jc w:val="both"/>
      </w:pPr>
      <w:r>
        <w:lastRenderedPageBreak/>
        <w:t>À</w:t>
      </w:r>
      <w:r w:rsidR="000623B7">
        <w:t xml:space="preserve"> l’automne 2002</w:t>
      </w:r>
      <w:r>
        <w:t>,</w:t>
      </w:r>
      <w:r w:rsidR="000623B7">
        <w:t xml:space="preserve"> nous avons décidé de produire un nouveau banc test fiable et compact pouvant être utilisé jusqu’au terme de l’expérience. Il s’agissait de développer une carte basée sur des circuits </w:t>
      </w:r>
      <w:r w:rsidR="00851A4B">
        <w:t>programmables</w:t>
      </w:r>
      <w:r w:rsidR="000623B7">
        <w:t xml:space="preserve"> FPGA, dimensionnée pour s’implanter sur une interface PCI et pilotée par une application C++ sous Windows.</w:t>
      </w:r>
      <w:r w:rsidR="00851A4B">
        <w:t xml:space="preserve"> Au début de l’été 2003, un exemplaire a été installé sur le site de l’expérience à Brookhaven.</w:t>
      </w:r>
      <w:r w:rsidR="000623B7">
        <w:t xml:space="preserve"> </w:t>
      </w:r>
    </w:p>
    <w:p w:rsidR="00851A4B" w:rsidRPr="00B15C9C" w:rsidRDefault="00851A4B" w:rsidP="00851A4B">
      <w:pPr>
        <w:jc w:val="both"/>
      </w:pPr>
      <w:r>
        <w:t xml:space="preserve">L’ensemble de la production, de l’installation et de la maintenance des cartes d’électronique du </w:t>
      </w:r>
      <w:proofErr w:type="spellStart"/>
      <w:r>
        <w:t>trajectographe</w:t>
      </w:r>
      <w:proofErr w:type="spellEnd"/>
      <w:r>
        <w:t xml:space="preserve"> à muons a fait l’objet d’un </w:t>
      </w:r>
      <w:proofErr w:type="spellStart"/>
      <w:r>
        <w:t>Memorandum</w:t>
      </w:r>
      <w:proofErr w:type="spellEnd"/>
      <w:r>
        <w:t xml:space="preserve"> Of </w:t>
      </w:r>
      <w:proofErr w:type="spellStart"/>
      <w:r>
        <w:t>Understanding</w:t>
      </w:r>
      <w:proofErr w:type="spellEnd"/>
      <w:r>
        <w:t xml:space="preserve"> effectué avec Brookhaven. Ce </w:t>
      </w:r>
      <w:proofErr w:type="spellStart"/>
      <w:r>
        <w:t>memorandum</w:t>
      </w:r>
      <w:proofErr w:type="spellEnd"/>
      <w:r>
        <w:t xml:space="preserve"> a pris fin à la fin de l’année 2006.</w:t>
      </w:r>
    </w:p>
    <w:p w:rsidR="00726FE5" w:rsidRPr="00726FE5" w:rsidRDefault="00726FE5" w:rsidP="00726FE5">
      <w:pPr>
        <w:pStyle w:val="Titre2"/>
        <w:numPr>
          <w:ilvl w:val="1"/>
          <w:numId w:val="1"/>
        </w:numPr>
      </w:pPr>
      <w:r>
        <w:t xml:space="preserve">Carte d’interface pour le détecteur de vertex de </w:t>
      </w:r>
      <w:proofErr w:type="spellStart"/>
      <w:r>
        <w:t>Phenix</w:t>
      </w:r>
      <w:proofErr w:type="spellEnd"/>
    </w:p>
    <w:p w:rsidR="00726FE5" w:rsidRDefault="00D0119A" w:rsidP="00F20365">
      <w:pPr>
        <w:jc w:val="both"/>
      </w:pPr>
      <w:r>
        <w:t xml:space="preserve">À </w:t>
      </w:r>
      <w:r w:rsidR="00A415F0" w:rsidRPr="00F20365">
        <w:t>l'automne 2005, le LLR a pris en charge</w:t>
      </w:r>
      <w:r>
        <w:t xml:space="preserve"> (</w:t>
      </w:r>
      <w:r w:rsidR="00FB107A">
        <w:t>p</w:t>
      </w:r>
      <w:r>
        <w:t xml:space="preserve">our un montant total de 130 k€ ; </w:t>
      </w:r>
      <w:r w:rsidR="00FB107A">
        <w:t>100 k€ provenant du LLR + 30 k€ provenant de l’IN2P3)</w:t>
      </w:r>
      <w:r w:rsidR="00A415F0" w:rsidRPr="00F20365">
        <w:t xml:space="preserve"> l'étude, la production</w:t>
      </w:r>
      <w:r w:rsidR="00FB107A">
        <w:t>, le test et l'installation d</w:t>
      </w:r>
      <w:r w:rsidR="00A415F0" w:rsidRPr="00F20365">
        <w:t xml:space="preserve">e </w:t>
      </w:r>
      <w:r w:rsidR="00FB107A">
        <w:t xml:space="preserve">60 (+15 </w:t>
      </w:r>
      <w:proofErr w:type="spellStart"/>
      <w:r w:rsidR="00FB107A">
        <w:t>spares</w:t>
      </w:r>
      <w:proofErr w:type="spellEnd"/>
      <w:r w:rsidR="00FB107A">
        <w:t xml:space="preserve">) </w:t>
      </w:r>
      <w:r w:rsidR="00A415F0" w:rsidRPr="00F20365">
        <w:t>carte</w:t>
      </w:r>
      <w:r w:rsidR="00FB107A">
        <w:t>s</w:t>
      </w:r>
      <w:r w:rsidR="00A415F0" w:rsidRPr="00F20365">
        <w:t xml:space="preserve"> d'interface parallèle-série haut débit pour le détecteur de vertex de </w:t>
      </w:r>
      <w:proofErr w:type="spellStart"/>
      <w:r w:rsidR="00A415F0" w:rsidRPr="00F20365">
        <w:t>Phenix</w:t>
      </w:r>
      <w:proofErr w:type="spellEnd"/>
      <w:r w:rsidR="00A415F0" w:rsidRPr="00F20365">
        <w:t xml:space="preserve"> qui devrait être installé à l'automne 2010</w:t>
      </w:r>
      <w:r w:rsidR="00A415F0">
        <w:t xml:space="preserve"> (</w:t>
      </w:r>
      <w:r w:rsidR="000B4253">
        <w:fldChar w:fldCharType="begin"/>
      </w:r>
      <w:r w:rsidR="00A415F0">
        <w:instrText xml:space="preserve"> REF _Ref262655369 \h </w:instrText>
      </w:r>
      <w:r w:rsidR="000B4253">
        <w:fldChar w:fldCharType="separate"/>
      </w:r>
      <w:r w:rsidR="00FE5A86">
        <w:t xml:space="preserve">Figure </w:t>
      </w:r>
      <w:r w:rsidR="00FE5A86">
        <w:rPr>
          <w:noProof/>
        </w:rPr>
        <w:t>3</w:t>
      </w:r>
      <w:r w:rsidR="000B4253">
        <w:fldChar w:fldCharType="end"/>
      </w:r>
      <w:r w:rsidR="00A415F0">
        <w:t>)</w:t>
      </w:r>
      <w:r w:rsidR="00A415F0" w:rsidRPr="00F20365">
        <w:t>.</w:t>
      </w:r>
    </w:p>
    <w:p w:rsidR="00B77DBE" w:rsidRDefault="00F20365" w:rsidP="00F20365">
      <w:pPr>
        <w:jc w:val="both"/>
      </w:pPr>
      <w:r w:rsidRPr="00F20365">
        <w:t>Ce</w:t>
      </w:r>
      <w:r w:rsidR="00FB107A">
        <w:t>s</w:t>
      </w:r>
      <w:r w:rsidRPr="00F20365">
        <w:t xml:space="preserve"> carte</w:t>
      </w:r>
      <w:r w:rsidR="00FB107A">
        <w:t>s</w:t>
      </w:r>
      <w:r w:rsidRPr="00F20365">
        <w:t>, baptisée</w:t>
      </w:r>
      <w:r w:rsidR="00FB107A">
        <w:t>s</w:t>
      </w:r>
      <w:r w:rsidRPr="00F20365">
        <w:t xml:space="preserve"> S</w:t>
      </w:r>
      <w:r w:rsidR="00D0119A">
        <w:t>.</w:t>
      </w:r>
      <w:r w:rsidRPr="00F20365">
        <w:t>P</w:t>
      </w:r>
      <w:r w:rsidR="00D0119A">
        <w:t>.</w:t>
      </w:r>
      <w:r w:rsidRPr="00F20365">
        <w:t>I</w:t>
      </w:r>
      <w:r w:rsidR="00D0119A">
        <w:t>.</w:t>
      </w:r>
      <w:r w:rsidRPr="00F20365">
        <w:t>R</w:t>
      </w:r>
      <w:r w:rsidR="00D0119A">
        <w:t>.</w:t>
      </w:r>
      <w:r w:rsidRPr="00F20365">
        <w:t>O</w:t>
      </w:r>
      <w:r w:rsidR="00D0119A">
        <w:t>.</w:t>
      </w:r>
      <w:r w:rsidRPr="00F20365">
        <w:t>, pour</w:t>
      </w:r>
      <w:r>
        <w:t xml:space="preserve"> « </w:t>
      </w:r>
      <w:proofErr w:type="spellStart"/>
      <w:r>
        <w:t>Silicon</w:t>
      </w:r>
      <w:proofErr w:type="spellEnd"/>
      <w:r>
        <w:t xml:space="preserve"> Pixel Interface and Read-Out », réalise</w:t>
      </w:r>
      <w:r w:rsidR="00FB107A">
        <w:t>nt</w:t>
      </w:r>
      <w:r>
        <w:t xml:space="preserve"> la le</w:t>
      </w:r>
      <w:r w:rsidR="00B77DBE">
        <w:t xml:space="preserve">cture des données des pixels, </w:t>
      </w:r>
      <w:r>
        <w:t xml:space="preserve">leur mise au format requis par le </w:t>
      </w:r>
      <w:r w:rsidR="00B77DBE">
        <w:t xml:space="preserve">système d’acquisition de </w:t>
      </w:r>
      <w:proofErr w:type="spellStart"/>
      <w:r w:rsidR="00B77DBE">
        <w:t>Phenix</w:t>
      </w:r>
      <w:proofErr w:type="spellEnd"/>
      <w:r w:rsidR="00B77DBE">
        <w:t xml:space="preserve"> et leur transmission au système d’acquisition à la vitesse de 1,6 </w:t>
      </w:r>
      <w:proofErr w:type="spellStart"/>
      <w:r w:rsidR="00B77DBE">
        <w:t>Gbit</w:t>
      </w:r>
      <w:proofErr w:type="spellEnd"/>
      <w:r w:rsidR="00B77DBE">
        <w:t xml:space="preserve">/s. </w:t>
      </w:r>
      <w:r w:rsidR="00787B2B">
        <w:t>Elle</w:t>
      </w:r>
      <w:r w:rsidR="00FB107A">
        <w:t>s</w:t>
      </w:r>
      <w:r w:rsidR="00787B2B">
        <w:t xml:space="preserve"> assure</w:t>
      </w:r>
      <w:r w:rsidR="00FB107A">
        <w:t>nt</w:t>
      </w:r>
      <w:r w:rsidR="00787B2B">
        <w:t xml:space="preserve"> également le contrôle hors-temps (« slow-control ») du détecteur</w:t>
      </w:r>
      <w:r w:rsidR="001E6FE2">
        <w:rPr>
          <w:rStyle w:val="Appelnotedebasdep"/>
        </w:rPr>
        <w:footnoteReference w:id="5"/>
      </w:r>
      <w:r w:rsidR="00787B2B">
        <w:t>.</w:t>
      </w:r>
    </w:p>
    <w:p w:rsidR="00B77DBE" w:rsidRDefault="00B77DBE" w:rsidP="00F20365">
      <w:pPr>
        <w:jc w:val="both"/>
      </w:pPr>
      <w:r>
        <w:t xml:space="preserve">La </w:t>
      </w:r>
      <w:r w:rsidR="000B4253">
        <w:fldChar w:fldCharType="begin"/>
      </w:r>
      <w:r>
        <w:instrText xml:space="preserve"> REF _Ref262649837 \h </w:instrText>
      </w:r>
      <w:r w:rsidR="000B4253">
        <w:fldChar w:fldCharType="separate"/>
      </w:r>
      <w:r w:rsidR="00FE5A86">
        <w:t xml:space="preserve">Figure </w:t>
      </w:r>
      <w:r w:rsidR="00FE5A86">
        <w:rPr>
          <w:noProof/>
        </w:rPr>
        <w:t>5</w:t>
      </w:r>
      <w:r w:rsidR="000B4253">
        <w:fldChar w:fldCharType="end"/>
      </w:r>
      <w:r>
        <w:t xml:space="preserve"> représente la chaîne d’acquisition avec la responsabili</w:t>
      </w:r>
      <w:r w:rsidR="00D0119A">
        <w:t>té de chaque pays collaborateur</w:t>
      </w:r>
      <w:r>
        <w:t xml:space="preserve">. Elle est composée d’une électronique de « front-end » équipée de wafers de silicium, de l’électronique d’interface, sous la responsabilité du LLR, et de l’électronique d’acquisition. </w:t>
      </w:r>
    </w:p>
    <w:p w:rsidR="00F20365" w:rsidRDefault="00B77DBE" w:rsidP="007142F6">
      <w:pPr>
        <w:jc w:val="center"/>
      </w:pPr>
      <w:r>
        <w:rPr>
          <w:rFonts w:ascii="Arial" w:hAnsi="Arial" w:cs="Arial"/>
          <w:noProof/>
          <w:sz w:val="20"/>
          <w:szCs w:val="20"/>
          <w:lang w:eastAsia="fr-FR"/>
        </w:rPr>
        <w:drawing>
          <wp:inline distT="0" distB="0" distL="0" distR="0">
            <wp:extent cx="3448050" cy="1756466"/>
            <wp:effectExtent l="19050" t="19050" r="19050" b="15184"/>
            <wp:docPr id="1" name="Image 1" descr="Systeme_rap_activité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_rap_activité_2007"/>
                    <pic:cNvPicPr>
                      <a:picLocks noChangeAspect="1" noChangeArrowheads="1"/>
                    </pic:cNvPicPr>
                  </pic:nvPicPr>
                  <pic:blipFill>
                    <a:blip r:embed="rId14" cstate="print"/>
                    <a:srcRect/>
                    <a:stretch>
                      <a:fillRect/>
                    </a:stretch>
                  </pic:blipFill>
                  <pic:spPr bwMode="auto">
                    <a:xfrm>
                      <a:off x="0" y="0"/>
                      <a:ext cx="3448050" cy="1756466"/>
                    </a:xfrm>
                    <a:prstGeom prst="rect">
                      <a:avLst/>
                    </a:prstGeom>
                    <a:noFill/>
                    <a:ln w="6350" cmpd="sng">
                      <a:solidFill>
                        <a:srgbClr val="000000"/>
                      </a:solidFill>
                      <a:miter lim="800000"/>
                      <a:headEnd/>
                      <a:tailEnd/>
                    </a:ln>
                    <a:effectLst/>
                  </pic:spPr>
                </pic:pic>
              </a:graphicData>
            </a:graphic>
          </wp:inline>
        </w:drawing>
      </w:r>
    </w:p>
    <w:p w:rsidR="00B77DBE" w:rsidRDefault="00B77DBE" w:rsidP="007142F6">
      <w:pPr>
        <w:pStyle w:val="Lgende"/>
        <w:jc w:val="center"/>
      </w:pPr>
      <w:bookmarkStart w:id="4" w:name="_Ref262649837"/>
      <w:bookmarkStart w:id="5" w:name="_Ref262649777"/>
      <w:r>
        <w:t xml:space="preserve">Figure </w:t>
      </w:r>
      <w:fldSimple w:instr=" SEQ Figure \* ARABIC ">
        <w:r w:rsidR="00FE5A86">
          <w:rPr>
            <w:noProof/>
          </w:rPr>
          <w:t>5</w:t>
        </w:r>
      </w:fldSimple>
      <w:bookmarkEnd w:id="4"/>
      <w:r>
        <w:t> </w:t>
      </w:r>
      <w:bookmarkStart w:id="6" w:name="_Ref262649828"/>
      <w:r>
        <w:t>: vue d’ensemble du système d’acquisition</w:t>
      </w:r>
      <w:bookmarkEnd w:id="5"/>
      <w:bookmarkEnd w:id="6"/>
    </w:p>
    <w:p w:rsidR="002B1E6E" w:rsidRDefault="002B1E6E" w:rsidP="00236B82">
      <w:pPr>
        <w:jc w:val="both"/>
      </w:pPr>
      <w:r>
        <w:t xml:space="preserve">Chaque carte S.P.I.R.O. permet la lecture d’une demi-échelle de silicium qui compte trente échelles au total. La carte reçoit les données de la demi-échelle sur 4 bus de 32 bits. Ces données sont traitées par deux </w:t>
      </w:r>
      <w:proofErr w:type="spellStart"/>
      <w:r>
        <w:t>ASICs</w:t>
      </w:r>
      <w:proofErr w:type="spellEnd"/>
      <w:r>
        <w:t xml:space="preserve"> numériques provenant de la </w:t>
      </w:r>
      <w:r w:rsidR="00D0119A">
        <w:t xml:space="preserve">partie japonaise de la </w:t>
      </w:r>
      <w:r>
        <w:t xml:space="preserve">collaboration et ayant les caractéristiques des </w:t>
      </w:r>
      <w:proofErr w:type="spellStart"/>
      <w:r>
        <w:t>ASICs</w:t>
      </w:r>
      <w:proofErr w:type="spellEnd"/>
      <w:r>
        <w:t xml:space="preserve"> développés pour le détecteur de silicium de l’expérience ALICE. Ces </w:t>
      </w:r>
      <w:proofErr w:type="spellStart"/>
      <w:r>
        <w:t>ASICs</w:t>
      </w:r>
      <w:proofErr w:type="spellEnd"/>
      <w:r>
        <w:t xml:space="preserve"> prennent chacun en charge 2 bus de 32 bits. Ces deux </w:t>
      </w:r>
      <w:proofErr w:type="spellStart"/>
      <w:r>
        <w:t>ASICs</w:t>
      </w:r>
      <w:proofErr w:type="spellEnd"/>
      <w:r>
        <w:t xml:space="preserve"> fournissent à leurs sorties un format de données de largeur 32 bits qui sont traitées par un FP</w:t>
      </w:r>
      <w:r w:rsidR="00236B82">
        <w:t xml:space="preserve">GA réordonnançant ces deux formats au standard PHENIX. Le FPGA fournit alors les deux formats finaux vers deux circuits GOL pour les transmettre via fibre optique au débit de 1,6 </w:t>
      </w:r>
      <w:proofErr w:type="spellStart"/>
      <w:r w:rsidR="00236B82">
        <w:t>Gb</w:t>
      </w:r>
      <w:r w:rsidR="006E4528">
        <w:t>its</w:t>
      </w:r>
      <w:proofErr w:type="spellEnd"/>
      <w:r w:rsidR="00236B82">
        <w:t xml:space="preserve">/s. La contrainte forte pour l’étude de cette carte a </w:t>
      </w:r>
      <w:r w:rsidR="00236B82">
        <w:lastRenderedPageBreak/>
        <w:t>été ses dimensions et son placement de composants car celle-ci ne devait pas être supérieure à 180x120 mm.</w:t>
      </w:r>
    </w:p>
    <w:p w:rsidR="002B1E6E" w:rsidRDefault="00E75983" w:rsidP="007142F6">
      <w:pPr>
        <w:jc w:val="center"/>
      </w:pPr>
      <w:r>
        <w:rPr>
          <w:rFonts w:ascii="Arial" w:hAnsi="Arial" w:cs="Arial"/>
          <w:noProof/>
          <w:sz w:val="20"/>
          <w:szCs w:val="20"/>
          <w:lang w:eastAsia="fr-FR"/>
        </w:rPr>
        <w:drawing>
          <wp:inline distT="0" distB="0" distL="0" distR="0">
            <wp:extent cx="2729577" cy="1771650"/>
            <wp:effectExtent l="19050" t="0" r="0" b="0"/>
            <wp:docPr id="3" name="Image 2" descr="Z:\_Admin\admin-phenix\CSIN2P3_2010\Spi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Admin\admin-phenix\CSIN2P3_2010\Spiro-3.jpg"/>
                    <pic:cNvPicPr>
                      <a:picLocks noChangeAspect="1" noChangeArrowheads="1"/>
                    </pic:cNvPicPr>
                  </pic:nvPicPr>
                  <pic:blipFill>
                    <a:blip r:embed="rId15" cstate="print"/>
                    <a:srcRect l="2857" t="9524" r="2500" b="8571"/>
                    <a:stretch>
                      <a:fillRect/>
                    </a:stretch>
                  </pic:blipFill>
                  <pic:spPr bwMode="auto">
                    <a:xfrm>
                      <a:off x="0" y="0"/>
                      <a:ext cx="2729577" cy="1771650"/>
                    </a:xfrm>
                    <a:prstGeom prst="rect">
                      <a:avLst/>
                    </a:prstGeom>
                    <a:noFill/>
                    <a:ln w="9525">
                      <a:noFill/>
                      <a:miter lim="800000"/>
                      <a:headEnd/>
                      <a:tailEnd/>
                    </a:ln>
                  </pic:spPr>
                </pic:pic>
              </a:graphicData>
            </a:graphic>
          </wp:inline>
        </w:drawing>
      </w:r>
    </w:p>
    <w:p w:rsidR="002B1E6E" w:rsidRDefault="002B1E6E" w:rsidP="007142F6">
      <w:pPr>
        <w:pStyle w:val="Lgende"/>
        <w:jc w:val="center"/>
      </w:pPr>
      <w:bookmarkStart w:id="7" w:name="_Ref262652788"/>
      <w:r>
        <w:t xml:space="preserve">Figure </w:t>
      </w:r>
      <w:fldSimple w:instr=" SEQ Figure \* ARABIC ">
        <w:r w:rsidR="00FE5A86">
          <w:rPr>
            <w:noProof/>
          </w:rPr>
          <w:t>6</w:t>
        </w:r>
      </w:fldSimple>
      <w:bookmarkEnd w:id="7"/>
      <w:r w:rsidR="00236B82">
        <w:t> : version définitive</w:t>
      </w:r>
      <w:r>
        <w:t xml:space="preserve"> de la carte S.P.I.R.O.</w:t>
      </w:r>
    </w:p>
    <w:p w:rsidR="002B1E6E" w:rsidRDefault="00236B82" w:rsidP="00AE751E">
      <w:pPr>
        <w:jc w:val="both"/>
      </w:pPr>
      <w:r>
        <w:t xml:space="preserve">Un premier prototype de cette carte a été fabriqué en 2006. Une deuxième version </w:t>
      </w:r>
      <w:r w:rsidR="007142F6">
        <w:t>(</w:t>
      </w:r>
      <w:r w:rsidR="000B4253">
        <w:fldChar w:fldCharType="begin"/>
      </w:r>
      <w:r w:rsidR="007142F6">
        <w:instrText xml:space="preserve"> REF _Ref262652788 \h </w:instrText>
      </w:r>
      <w:r w:rsidR="000B4253">
        <w:fldChar w:fldCharType="separate"/>
      </w:r>
      <w:r w:rsidR="00FE5A86">
        <w:t xml:space="preserve">Figure </w:t>
      </w:r>
      <w:r w:rsidR="00FE5A86">
        <w:rPr>
          <w:noProof/>
        </w:rPr>
        <w:t>6</w:t>
      </w:r>
      <w:r w:rsidR="000B4253">
        <w:fldChar w:fldCharType="end"/>
      </w:r>
      <w:r w:rsidR="007142F6">
        <w:t xml:space="preserve">) </w:t>
      </w:r>
      <w:r>
        <w:t xml:space="preserve">a été conçue pour l’adapter aux conditions de radiations qu’elle aura à subir dans l’expérience (150 </w:t>
      </w:r>
      <w:proofErr w:type="spellStart"/>
      <w:r>
        <w:t>kRad</w:t>
      </w:r>
      <w:proofErr w:type="spellEnd"/>
      <w:r>
        <w:t xml:space="preserve"> en dix ans de fonctionnement), et la production de la version définitive a finalement été lancée à l’été 2009. Un retard pris sur le calendrier initial (la p</w:t>
      </w:r>
      <w:r w:rsidR="00FB107A">
        <w:t xml:space="preserve">roduction était </w:t>
      </w:r>
      <w:r w:rsidR="006E4528">
        <w:t xml:space="preserve">initialement </w:t>
      </w:r>
      <w:r w:rsidR="00FB107A">
        <w:t xml:space="preserve">prévue pour </w:t>
      </w:r>
      <w:r w:rsidR="006E4528">
        <w:t xml:space="preserve">l’été </w:t>
      </w:r>
      <w:r w:rsidR="00E75983">
        <w:t>2007</w:t>
      </w:r>
      <w:r>
        <w:t xml:space="preserve">) a été dû </w:t>
      </w:r>
      <w:r w:rsidR="00494447">
        <w:t>à des</w:t>
      </w:r>
      <w:r>
        <w:t xml:space="preserve"> problèmes techniques </w:t>
      </w:r>
      <w:r w:rsidR="00494447">
        <w:t>rencontrés par nos collègues japonais dans le développement des « échelles » de capteurs de silicium. Nous avons mis à profit ce délai pour améliorer certains détail</w:t>
      </w:r>
      <w:r w:rsidR="007142F6">
        <w:t>s du « </w:t>
      </w:r>
      <w:proofErr w:type="spellStart"/>
      <w:r w:rsidR="007142F6">
        <w:t>process</w:t>
      </w:r>
      <w:proofErr w:type="spellEnd"/>
      <w:r w:rsidR="007142F6">
        <w:t> » de fabrication, afin de gagner en fiabilité sur la production finale. Cette stratégie s’est révélée payante, puisque la production des 75 cartes de la série s’est terminée en novembre 2009 dans de bonnes conditions et que 100% des cartes produites sont entièrement fonctionnelles. Ces cartes ont été livrées à Brookhaven en début d’année 2010. Elles seront intégrées dans la structure porteuse à partir de l’été prochain puis dans le détecteur lui-même à l’automne.</w:t>
      </w:r>
    </w:p>
    <w:p w:rsidR="00776D29" w:rsidRDefault="00F20365" w:rsidP="00346ED7">
      <w:pPr>
        <w:pStyle w:val="Titre1"/>
        <w:numPr>
          <w:ilvl w:val="0"/>
          <w:numId w:val="1"/>
        </w:numPr>
      </w:pPr>
      <w:r>
        <w:t>Activités logicielles</w:t>
      </w:r>
    </w:p>
    <w:p w:rsidR="006124C5" w:rsidRDefault="00731349" w:rsidP="005D59CB">
      <w:pPr>
        <w:jc w:val="both"/>
      </w:pPr>
      <w:r>
        <w:t xml:space="preserve">La communauté française s’est très fortement impliquée dans des activités logicielles en vue de l’analyse des données </w:t>
      </w:r>
      <w:r w:rsidR="006124C5">
        <w:t>du calorimètre et du spectromètre à muons</w:t>
      </w:r>
      <w:r>
        <w:t> :</w:t>
      </w:r>
      <w:r w:rsidR="005D59CB">
        <w:t xml:space="preserve"> </w:t>
      </w:r>
    </w:p>
    <w:p w:rsidR="00194CF8" w:rsidRDefault="00194CF8" w:rsidP="006124C5">
      <w:pPr>
        <w:pStyle w:val="Paragraphedeliste"/>
        <w:numPr>
          <w:ilvl w:val="0"/>
          <w:numId w:val="18"/>
        </w:numPr>
        <w:jc w:val="both"/>
      </w:pPr>
      <w:r>
        <w:t>Inclusion (</w:t>
      </w:r>
      <w:proofErr w:type="spellStart"/>
      <w:r>
        <w:t>embedding</w:t>
      </w:r>
      <w:proofErr w:type="spellEnd"/>
      <w:r>
        <w:t>) de traces simulées au niveau des données brutes (IPN, 2000-2001)</w:t>
      </w:r>
    </w:p>
    <w:p w:rsidR="006124C5" w:rsidRDefault="006124C5" w:rsidP="006124C5">
      <w:pPr>
        <w:pStyle w:val="Paragraphedeliste"/>
        <w:numPr>
          <w:ilvl w:val="0"/>
          <w:numId w:val="18"/>
        </w:numPr>
        <w:jc w:val="both"/>
      </w:pPr>
      <w:r>
        <w:t>Conception, développement et gestion de toutes les bases de données de calibration du calorimètre</w:t>
      </w:r>
      <w:r w:rsidR="00C202AB">
        <w:t xml:space="preserve"> (SUBATECH, jusqu’en 2004).</w:t>
      </w:r>
    </w:p>
    <w:p w:rsidR="00C202AB" w:rsidRDefault="00C202AB" w:rsidP="006124C5">
      <w:pPr>
        <w:pStyle w:val="Paragraphedeliste"/>
        <w:numPr>
          <w:ilvl w:val="0"/>
          <w:numId w:val="18"/>
        </w:numPr>
        <w:jc w:val="both"/>
      </w:pPr>
      <w:r>
        <w:t xml:space="preserve">Participation au développement du cadre de calcul des efficacités </w:t>
      </w:r>
      <w:r w:rsidR="00C21F3D">
        <w:t xml:space="preserve">pour la reconstruction des </w:t>
      </w:r>
      <w:r w:rsidRPr="00C21F3D">
        <w:rPr>
          <w:rFonts w:ascii="Symbol" w:hAnsi="Symbol"/>
        </w:rPr>
        <w:t></w:t>
      </w:r>
      <w:r w:rsidRPr="00C21F3D">
        <w:rPr>
          <w:vertAlign w:val="superscript"/>
        </w:rPr>
        <w:t>0</w:t>
      </w:r>
      <w:r w:rsidR="00096C1F">
        <w:t xml:space="preserve"> (SUBATE</w:t>
      </w:r>
      <w:r>
        <w:t>C</w:t>
      </w:r>
      <w:r w:rsidR="00096C1F">
        <w:t>H</w:t>
      </w:r>
      <w:r>
        <w:t>, jusqu’en 2004).</w:t>
      </w:r>
    </w:p>
    <w:p w:rsidR="006124C5" w:rsidRDefault="006124C5" w:rsidP="006124C5">
      <w:pPr>
        <w:pStyle w:val="Paragraphedeliste"/>
        <w:numPr>
          <w:ilvl w:val="0"/>
          <w:numId w:val="18"/>
        </w:numPr>
        <w:jc w:val="both"/>
      </w:pPr>
      <w:r>
        <w:t>Implémentation du code d’intégration des cartes de champ magnétique du spectromètre à muons dans la  base de données utilisée pour la simulation et la reconstruction des données (LPC, 2002).</w:t>
      </w:r>
    </w:p>
    <w:p w:rsidR="006124C5" w:rsidRDefault="006124C5" w:rsidP="006124C5">
      <w:pPr>
        <w:pStyle w:val="Paragraphedeliste"/>
        <w:numPr>
          <w:ilvl w:val="0"/>
          <w:numId w:val="18"/>
        </w:numPr>
        <w:jc w:val="both"/>
      </w:pPr>
      <w:r>
        <w:t xml:space="preserve">Adaptation du programme de simulation </w:t>
      </w:r>
      <w:proofErr w:type="spellStart"/>
      <w:r>
        <w:t>Pythia</w:t>
      </w:r>
      <w:proofErr w:type="spellEnd"/>
      <w:r>
        <w:t xml:space="preserve"> pour la production d’événement « muons » (LLR, 2002).</w:t>
      </w:r>
    </w:p>
    <w:p w:rsidR="006124C5" w:rsidRDefault="006124C5" w:rsidP="006124C5">
      <w:pPr>
        <w:pStyle w:val="Paragraphedeliste"/>
        <w:numPr>
          <w:ilvl w:val="0"/>
          <w:numId w:val="18"/>
        </w:numPr>
        <w:jc w:val="both"/>
      </w:pPr>
      <w:r>
        <w:t>Développement des programmes de réduction des données muons (LLR, 2003).</w:t>
      </w:r>
    </w:p>
    <w:p w:rsidR="006124C5" w:rsidRDefault="006124C5" w:rsidP="006124C5">
      <w:pPr>
        <w:pStyle w:val="Paragraphedeliste"/>
        <w:numPr>
          <w:ilvl w:val="0"/>
          <w:numId w:val="18"/>
        </w:numPr>
        <w:jc w:val="both"/>
      </w:pPr>
      <w:r>
        <w:t xml:space="preserve">Implémentation d’un algorithme de reconstruction des traces muons s’appuyant sur un filtre de </w:t>
      </w:r>
      <w:proofErr w:type="spellStart"/>
      <w:r>
        <w:t>Kalman</w:t>
      </w:r>
      <w:proofErr w:type="spellEnd"/>
      <w:r>
        <w:t xml:space="preserve"> (</w:t>
      </w:r>
      <w:proofErr w:type="spellStart"/>
      <w:r>
        <w:t>SPhN</w:t>
      </w:r>
      <w:proofErr w:type="spellEnd"/>
      <w:r w:rsidR="00C202AB">
        <w:t>, 2003</w:t>
      </w:r>
      <w:r>
        <w:t>).</w:t>
      </w:r>
    </w:p>
    <w:p w:rsidR="006E4528" w:rsidRDefault="006E4528" w:rsidP="006124C5">
      <w:pPr>
        <w:pStyle w:val="Paragraphedeliste"/>
        <w:numPr>
          <w:ilvl w:val="0"/>
          <w:numId w:val="18"/>
        </w:numPr>
        <w:jc w:val="both"/>
      </w:pPr>
      <w:r>
        <w:lastRenderedPageBreak/>
        <w:t>Mise au point de l’algorithme d’alignement du spectromètre à muons basé sur le</w:t>
      </w:r>
      <w:r w:rsidR="00D0119A">
        <w:t xml:space="preserve"> programme </w:t>
      </w:r>
      <w:proofErr w:type="spellStart"/>
      <w:r w:rsidR="00D0119A">
        <w:t>Millipede</w:t>
      </w:r>
      <w:proofErr w:type="spellEnd"/>
      <w:r w:rsidR="00D0119A">
        <w:t xml:space="preserve"> de DESY (</w:t>
      </w:r>
      <w:proofErr w:type="spellStart"/>
      <w:r w:rsidR="00D0119A">
        <w:t>SP</w:t>
      </w:r>
      <w:r>
        <w:t>hN</w:t>
      </w:r>
      <w:proofErr w:type="spellEnd"/>
      <w:r>
        <w:t>, 2006)</w:t>
      </w:r>
    </w:p>
    <w:p w:rsidR="00731349" w:rsidRPr="00776D29" w:rsidRDefault="00C202AB" w:rsidP="005D59CB">
      <w:pPr>
        <w:jc w:val="both"/>
      </w:pPr>
      <w:r>
        <w:t>Par ailleurs, nous avons assuré</w:t>
      </w:r>
      <w:r w:rsidR="005D59CB">
        <w:t xml:space="preserve"> la reconstruction au centre de calcul de l’IN2P3 du sous-ensemble de données muons pour les données p+p et d+Au de 2003, la reconstruction du sous-ensemble de données (filtrées par le système de déclenchement de niveau </w:t>
      </w:r>
      <w:r w:rsidR="00FB73C3">
        <w:t>2 qui permet de réduire les lots de données) pour les données Au+Au 2004 et Au+Au 2007</w:t>
      </w:r>
      <w:r w:rsidR="00D0119A">
        <w:t xml:space="preserve"> (muons et électrons)</w:t>
      </w:r>
      <w:r w:rsidR="00FB73C3">
        <w:t xml:space="preserve">. </w:t>
      </w:r>
      <w:r>
        <w:t xml:space="preserve">Enfin, </w:t>
      </w:r>
      <w:r w:rsidR="00A039DC">
        <w:t>depuis 2003</w:t>
      </w:r>
      <w:r>
        <w:t xml:space="preserve">, le </w:t>
      </w:r>
      <w:proofErr w:type="spellStart"/>
      <w:r>
        <w:t>SPhN</w:t>
      </w:r>
      <w:proofErr w:type="spellEnd"/>
      <w:r>
        <w:t xml:space="preserve"> est</w:t>
      </w:r>
      <w:r w:rsidR="00A039DC">
        <w:t xml:space="preserve"> responsable du code de reconstruction et d’analyse des données muons et, depuis 2006, coordinateur du programme de simulation de l’expérience.</w:t>
      </w:r>
      <w:r w:rsidR="00FB73C3">
        <w:t xml:space="preserve"> </w:t>
      </w:r>
    </w:p>
    <w:p w:rsidR="00F20365" w:rsidRDefault="00F20365" w:rsidP="00F20365">
      <w:pPr>
        <w:pStyle w:val="Titre1"/>
        <w:numPr>
          <w:ilvl w:val="0"/>
          <w:numId w:val="1"/>
        </w:numPr>
      </w:pPr>
      <w:r>
        <w:t>Contributions à l’analyse</w:t>
      </w:r>
    </w:p>
    <w:p w:rsidR="00346ED7" w:rsidRDefault="00C202AB" w:rsidP="00346ED7">
      <w:pPr>
        <w:jc w:val="both"/>
      </w:pPr>
      <w:r>
        <w:t>La communauté française a eu une implication tr</w:t>
      </w:r>
      <w:r w:rsidR="00765B03">
        <w:t xml:space="preserve">ès forte dans des études concernant en particulier la production des </w:t>
      </w:r>
      <w:r w:rsidR="00765B03" w:rsidRPr="00C21F3D">
        <w:rPr>
          <w:rFonts w:ascii="Symbol" w:hAnsi="Symbol"/>
        </w:rPr>
        <w:t></w:t>
      </w:r>
      <w:r w:rsidR="00765B03" w:rsidRPr="00C21F3D">
        <w:rPr>
          <w:vertAlign w:val="superscript"/>
        </w:rPr>
        <w:t>0</w:t>
      </w:r>
      <w:r w:rsidR="00765B03">
        <w:t xml:space="preserve"> et d</w:t>
      </w:r>
      <w:r w:rsidR="00F80A72">
        <w:t xml:space="preserve">es </w:t>
      </w:r>
      <w:proofErr w:type="spellStart"/>
      <w:r w:rsidR="00F80A72">
        <w:t>quarkonia</w:t>
      </w:r>
      <w:proofErr w:type="spellEnd"/>
      <w:r w:rsidR="00C21F3D">
        <w:t xml:space="preserve">, mais aussi sur la mesure des photons directs et du continuum physique des </w:t>
      </w:r>
      <w:proofErr w:type="spellStart"/>
      <w:r w:rsidR="00C21F3D">
        <w:t>dimuons</w:t>
      </w:r>
      <w:proofErr w:type="spellEnd"/>
      <w:r w:rsidR="00F80A72">
        <w:t>. Nous avons participé activement aux analyses suivantes</w:t>
      </w:r>
      <w:r w:rsidR="00765B03">
        <w:t> :</w:t>
      </w:r>
    </w:p>
    <w:p w:rsidR="00765B03" w:rsidRDefault="00D0119A" w:rsidP="00770C87">
      <w:pPr>
        <w:pStyle w:val="Paragraphedeliste"/>
        <w:numPr>
          <w:ilvl w:val="0"/>
          <w:numId w:val="21"/>
        </w:numPr>
        <w:jc w:val="both"/>
      </w:pPr>
      <w:r>
        <w:t>P</w:t>
      </w:r>
      <w:r w:rsidR="00765B03">
        <w:t xml:space="preserve">roduction des </w:t>
      </w:r>
      <w:r w:rsidR="00765B03" w:rsidRPr="00765B03">
        <w:rPr>
          <w:rFonts w:ascii="Symbol" w:hAnsi="Symbol"/>
        </w:rPr>
        <w:t></w:t>
      </w:r>
      <w:r w:rsidR="00765B03" w:rsidRPr="00765B03">
        <w:rPr>
          <w:vertAlign w:val="superscript"/>
        </w:rPr>
        <w:t>0</w:t>
      </w:r>
      <w:r w:rsidR="00765B03">
        <w:t xml:space="preserve"> pour les données Au+Au 2001.</w:t>
      </w:r>
    </w:p>
    <w:p w:rsidR="00765B03" w:rsidRDefault="00D0119A" w:rsidP="00770C87">
      <w:pPr>
        <w:pStyle w:val="Paragraphedeliste"/>
        <w:numPr>
          <w:ilvl w:val="0"/>
          <w:numId w:val="21"/>
        </w:numPr>
        <w:jc w:val="both"/>
      </w:pPr>
      <w:r>
        <w:t>P</w:t>
      </w:r>
      <w:r w:rsidR="00765B03">
        <w:t>roduction des photons directs pour les données p+p 2002 (thèse de Ahmed Hadj Henni – SUBATECH)</w:t>
      </w:r>
    </w:p>
    <w:p w:rsidR="00765B03" w:rsidRDefault="00D0119A" w:rsidP="00770C87">
      <w:pPr>
        <w:pStyle w:val="Paragraphedeliste"/>
        <w:numPr>
          <w:ilvl w:val="0"/>
          <w:numId w:val="21"/>
        </w:numPr>
        <w:jc w:val="both"/>
      </w:pPr>
      <w:r>
        <w:t>P</w:t>
      </w:r>
      <w:r w:rsidR="00765B03">
        <w:t xml:space="preserve">roduction des </w:t>
      </w:r>
      <w:r w:rsidR="00765B03" w:rsidRPr="00765B03">
        <w:rPr>
          <w:rFonts w:ascii="Symbol" w:hAnsi="Symbol"/>
        </w:rPr>
        <w:t></w:t>
      </w:r>
      <w:r w:rsidR="00765B03" w:rsidRPr="00765B03">
        <w:rPr>
          <w:vertAlign w:val="superscript"/>
        </w:rPr>
        <w:t>0</w:t>
      </w:r>
      <w:r w:rsidR="00765B03">
        <w:t xml:space="preserve"> pour les données Au+Au 2002.</w:t>
      </w:r>
    </w:p>
    <w:p w:rsidR="00D0119A" w:rsidRDefault="00D0119A" w:rsidP="00770C87">
      <w:pPr>
        <w:pStyle w:val="Paragraphedeliste"/>
        <w:numPr>
          <w:ilvl w:val="0"/>
          <w:numId w:val="21"/>
        </w:numPr>
        <w:jc w:val="both"/>
      </w:pPr>
      <w:r>
        <w:t>Production du J/</w:t>
      </w:r>
      <w:r w:rsidRPr="00346ED7">
        <w:rPr>
          <w:rFonts w:ascii="Symbol" w:hAnsi="Symbol"/>
        </w:rPr>
        <w:t></w:t>
      </w:r>
      <w:r>
        <w:t xml:space="preserve"> </w:t>
      </w:r>
      <w:r>
        <w:sym w:font="Wingdings" w:char="F0E0"/>
      </w:r>
      <w:r>
        <w:t xml:space="preserve"> </w:t>
      </w:r>
      <w:r w:rsidRPr="00346ED7">
        <w:rPr>
          <w:rFonts w:ascii="Symbol" w:hAnsi="Symbol"/>
        </w:rPr>
        <w:t></w:t>
      </w:r>
      <w:r>
        <w:t>+</w:t>
      </w:r>
      <w:r w:rsidRPr="00346ED7">
        <w:rPr>
          <w:rFonts w:ascii="Symbol" w:hAnsi="Symbol"/>
        </w:rPr>
        <w:t></w:t>
      </w:r>
      <w:r>
        <w:t>- pour les données p+p 2002 (bras sud uniquement).</w:t>
      </w:r>
    </w:p>
    <w:p w:rsidR="00765B03" w:rsidRDefault="00D0119A" w:rsidP="00770C87">
      <w:pPr>
        <w:pStyle w:val="Paragraphedeliste"/>
        <w:numPr>
          <w:ilvl w:val="0"/>
          <w:numId w:val="21"/>
        </w:numPr>
        <w:jc w:val="both"/>
      </w:pPr>
      <w:r>
        <w:t>P</w:t>
      </w:r>
      <w:r w:rsidR="00765B03">
        <w:t xml:space="preserve">roduction des </w:t>
      </w:r>
      <w:r w:rsidR="00765B03" w:rsidRPr="00765B03">
        <w:rPr>
          <w:rFonts w:ascii="Symbol" w:hAnsi="Symbol"/>
        </w:rPr>
        <w:t></w:t>
      </w:r>
      <w:r w:rsidR="00765B03" w:rsidRPr="00765B03">
        <w:rPr>
          <w:vertAlign w:val="superscript"/>
        </w:rPr>
        <w:t>0</w:t>
      </w:r>
      <w:r w:rsidR="00765B03">
        <w:t xml:space="preserve"> pour les données d+Au 2003.</w:t>
      </w:r>
    </w:p>
    <w:p w:rsidR="00346ED7" w:rsidRDefault="00346ED7" w:rsidP="00770C87">
      <w:pPr>
        <w:pStyle w:val="Paragraphedeliste"/>
        <w:numPr>
          <w:ilvl w:val="0"/>
          <w:numId w:val="21"/>
        </w:numPr>
        <w:jc w:val="both"/>
      </w:pPr>
      <w:r>
        <w:t>P</w:t>
      </w:r>
      <w:r w:rsidR="00604626">
        <w:t>roduction du J/</w:t>
      </w:r>
      <w:r w:rsidR="00604626" w:rsidRPr="00346ED7">
        <w:rPr>
          <w:rFonts w:ascii="Symbol" w:hAnsi="Symbol"/>
        </w:rPr>
        <w:t></w:t>
      </w:r>
      <w:r w:rsidR="00604626">
        <w:t xml:space="preserve"> </w:t>
      </w:r>
      <w:r w:rsidR="00604626">
        <w:sym w:font="Wingdings" w:char="F0E0"/>
      </w:r>
      <w:r w:rsidR="00604626">
        <w:t xml:space="preserve"> </w:t>
      </w:r>
      <w:r w:rsidR="00604626" w:rsidRPr="00346ED7">
        <w:rPr>
          <w:rFonts w:ascii="Symbol" w:hAnsi="Symbol"/>
        </w:rPr>
        <w:t></w:t>
      </w:r>
      <w:r w:rsidR="00604626">
        <w:t>+</w:t>
      </w:r>
      <w:r w:rsidR="00604626" w:rsidRPr="00346ED7">
        <w:rPr>
          <w:rFonts w:ascii="Symbol" w:hAnsi="Symbol"/>
        </w:rPr>
        <w:t></w:t>
      </w:r>
      <w:r w:rsidR="00604626">
        <w:t>- pour les données p+p et d+Au 200</w:t>
      </w:r>
      <w:r>
        <w:t xml:space="preserve">3 (thèse de Yan </w:t>
      </w:r>
      <w:proofErr w:type="spellStart"/>
      <w:r>
        <w:t>Cobigo</w:t>
      </w:r>
      <w:proofErr w:type="spellEnd"/>
      <w:r>
        <w:t xml:space="preserve"> – </w:t>
      </w:r>
      <w:proofErr w:type="spellStart"/>
      <w:r>
        <w:t>SPhN</w:t>
      </w:r>
      <w:proofErr w:type="spellEnd"/>
      <w:r>
        <w:t>)</w:t>
      </w:r>
    </w:p>
    <w:p w:rsidR="00770C87" w:rsidRDefault="00770C87" w:rsidP="00770C87">
      <w:pPr>
        <w:pStyle w:val="Paragraphedeliste"/>
        <w:numPr>
          <w:ilvl w:val="0"/>
          <w:numId w:val="21"/>
        </w:numPr>
        <w:jc w:val="both"/>
      </w:pPr>
      <w:r>
        <w:t xml:space="preserve">Production du continuum physique des </w:t>
      </w:r>
      <w:proofErr w:type="spellStart"/>
      <w:r>
        <w:t>dimuons</w:t>
      </w:r>
      <w:proofErr w:type="spellEnd"/>
      <w:r>
        <w:t xml:space="preserve"> pour les données p+p 2003 (thèse de Sébastien </w:t>
      </w:r>
      <w:proofErr w:type="spellStart"/>
      <w:r>
        <w:t>Gadrat</w:t>
      </w:r>
      <w:proofErr w:type="spellEnd"/>
      <w:r>
        <w:t xml:space="preserve"> – LPC)</w:t>
      </w:r>
    </w:p>
    <w:p w:rsidR="00346ED7" w:rsidRDefault="00346ED7" w:rsidP="00770C87">
      <w:pPr>
        <w:pStyle w:val="Paragraphedeliste"/>
        <w:numPr>
          <w:ilvl w:val="0"/>
          <w:numId w:val="21"/>
        </w:numPr>
        <w:jc w:val="both"/>
      </w:pPr>
      <w:r>
        <w:t>Production du J/</w:t>
      </w:r>
      <w:r w:rsidRPr="00346ED7">
        <w:rPr>
          <w:rFonts w:ascii="Symbol" w:hAnsi="Symbol"/>
        </w:rPr>
        <w:t></w:t>
      </w:r>
      <w:r>
        <w:t xml:space="preserve"> </w:t>
      </w:r>
      <w:r>
        <w:sym w:font="Wingdings" w:char="F0E0"/>
      </w:r>
      <w:r>
        <w:t xml:space="preserve"> </w:t>
      </w:r>
      <w:r w:rsidRPr="00346ED7">
        <w:rPr>
          <w:rFonts w:ascii="Symbol" w:hAnsi="Symbol"/>
        </w:rPr>
        <w:t></w:t>
      </w:r>
      <w:r>
        <w:t>+</w:t>
      </w:r>
      <w:r w:rsidRPr="00346ED7">
        <w:rPr>
          <w:rFonts w:ascii="Symbol" w:hAnsi="Symbol"/>
        </w:rPr>
        <w:t></w:t>
      </w:r>
      <w:r>
        <w:t xml:space="preserve">- pour les données </w:t>
      </w:r>
      <w:r w:rsidR="00604626">
        <w:t>Au+Au 2004</w:t>
      </w:r>
      <w:r>
        <w:t xml:space="preserve"> (thèse de Vi-</w:t>
      </w:r>
      <w:proofErr w:type="spellStart"/>
      <w:r>
        <w:t>Nahm</w:t>
      </w:r>
      <w:proofErr w:type="spellEnd"/>
      <w:r>
        <w:t xml:space="preserve"> Tram – LLR)</w:t>
      </w:r>
    </w:p>
    <w:p w:rsidR="00770C87" w:rsidRDefault="00770C87" w:rsidP="00770C87">
      <w:pPr>
        <w:pStyle w:val="Paragraphedeliste"/>
        <w:numPr>
          <w:ilvl w:val="0"/>
          <w:numId w:val="21"/>
        </w:numPr>
        <w:jc w:val="both"/>
      </w:pPr>
      <w:proofErr w:type="spellStart"/>
      <w:r>
        <w:t>Photoproduction</w:t>
      </w:r>
      <w:proofErr w:type="spellEnd"/>
      <w:r>
        <w:t xml:space="preserve"> du J/</w:t>
      </w:r>
      <w:r w:rsidRPr="00346ED7">
        <w:rPr>
          <w:rFonts w:ascii="Symbol" w:hAnsi="Symbol"/>
        </w:rPr>
        <w:t></w:t>
      </w:r>
      <w:r>
        <w:t xml:space="preserve"> </w:t>
      </w:r>
      <w:r>
        <w:sym w:font="Wingdings" w:char="F0E0"/>
      </w:r>
      <w:r>
        <w:t>e+e- pour les données ultrapériphériques Au+Au 2004.</w:t>
      </w:r>
    </w:p>
    <w:p w:rsidR="00770C87" w:rsidRDefault="00346ED7" w:rsidP="00770C87">
      <w:pPr>
        <w:pStyle w:val="Paragraphedeliste"/>
        <w:numPr>
          <w:ilvl w:val="0"/>
          <w:numId w:val="21"/>
        </w:numPr>
        <w:jc w:val="both"/>
      </w:pPr>
      <w:r>
        <w:t>Production du J/</w:t>
      </w:r>
      <w:r w:rsidRPr="00346ED7">
        <w:rPr>
          <w:rFonts w:ascii="Symbol" w:hAnsi="Symbol"/>
        </w:rPr>
        <w:t></w:t>
      </w:r>
      <w:r>
        <w:t xml:space="preserve"> </w:t>
      </w:r>
      <w:r>
        <w:sym w:font="Wingdings" w:char="F0E0"/>
      </w:r>
      <w:r>
        <w:t xml:space="preserve"> </w:t>
      </w:r>
      <w:r w:rsidRPr="00346ED7">
        <w:rPr>
          <w:rFonts w:ascii="Symbol" w:hAnsi="Symbol"/>
        </w:rPr>
        <w:t></w:t>
      </w:r>
      <w:r>
        <w:t>+</w:t>
      </w:r>
      <w:r w:rsidRPr="00346ED7">
        <w:rPr>
          <w:rFonts w:ascii="Symbol" w:hAnsi="Symbol"/>
        </w:rPr>
        <w:t></w:t>
      </w:r>
      <w:r>
        <w:t xml:space="preserve">- pour les données </w:t>
      </w:r>
      <w:r w:rsidR="00604626">
        <w:t>Cu+Cu 2005 (thèse d’</w:t>
      </w:r>
      <w:proofErr w:type="spellStart"/>
      <w:r w:rsidR="00604626">
        <w:t>Andry</w:t>
      </w:r>
      <w:proofErr w:type="spellEnd"/>
      <w:r w:rsidR="00604626">
        <w:t xml:space="preserve"> </w:t>
      </w:r>
      <w:proofErr w:type="spellStart"/>
      <w:r w:rsidR="00604626">
        <w:t>Rakotozafind</w:t>
      </w:r>
      <w:r>
        <w:t>rabe</w:t>
      </w:r>
      <w:proofErr w:type="spellEnd"/>
      <w:r>
        <w:t xml:space="preserve"> – LLR)</w:t>
      </w:r>
    </w:p>
    <w:p w:rsidR="00770C87" w:rsidRDefault="00770C87" w:rsidP="00770C87">
      <w:pPr>
        <w:pStyle w:val="Paragraphedeliste"/>
        <w:numPr>
          <w:ilvl w:val="0"/>
          <w:numId w:val="21"/>
        </w:numPr>
        <w:jc w:val="both"/>
      </w:pPr>
      <w:r>
        <w:t xml:space="preserve">Production du continuum physique des </w:t>
      </w:r>
      <w:proofErr w:type="spellStart"/>
      <w:r>
        <w:t>dimuons</w:t>
      </w:r>
      <w:proofErr w:type="spellEnd"/>
      <w:r>
        <w:t xml:space="preserve"> pour les données p+p 2006 (partie de la thèse d’habilitation à diriger des recherches de Philippe </w:t>
      </w:r>
      <w:proofErr w:type="spellStart"/>
      <w:r>
        <w:t>Rosnet</w:t>
      </w:r>
      <w:proofErr w:type="spellEnd"/>
      <w:r>
        <w:t xml:space="preserve"> – LPC)</w:t>
      </w:r>
    </w:p>
    <w:p w:rsidR="00770C87" w:rsidRDefault="00346ED7" w:rsidP="00770C87">
      <w:pPr>
        <w:pStyle w:val="Paragraphedeliste"/>
        <w:numPr>
          <w:ilvl w:val="0"/>
          <w:numId w:val="21"/>
        </w:numPr>
        <w:jc w:val="both"/>
      </w:pPr>
      <w:r>
        <w:t>Production du J/</w:t>
      </w:r>
      <w:r w:rsidRPr="00770C87">
        <w:rPr>
          <w:rFonts w:ascii="Symbol" w:hAnsi="Symbol"/>
        </w:rPr>
        <w:t></w:t>
      </w:r>
      <w:r>
        <w:t xml:space="preserve"> </w:t>
      </w:r>
      <w:r>
        <w:sym w:font="Wingdings" w:char="F0E0"/>
      </w:r>
      <w:r>
        <w:t xml:space="preserve"> </w:t>
      </w:r>
      <w:r w:rsidRPr="00770C87">
        <w:rPr>
          <w:rFonts w:ascii="Symbol" w:hAnsi="Symbol"/>
        </w:rPr>
        <w:t></w:t>
      </w:r>
      <w:r>
        <w:t>+</w:t>
      </w:r>
      <w:r w:rsidRPr="00770C87">
        <w:rPr>
          <w:rFonts w:ascii="Symbol" w:hAnsi="Symbol"/>
        </w:rPr>
        <w:t></w:t>
      </w:r>
      <w:r>
        <w:t xml:space="preserve">- pour les données </w:t>
      </w:r>
      <w:r w:rsidR="00604626">
        <w:t>Au+Au 2007 (thèse de Catherine Si</w:t>
      </w:r>
      <w:r>
        <w:t xml:space="preserve">lvestre – </w:t>
      </w:r>
      <w:proofErr w:type="spellStart"/>
      <w:r>
        <w:t>SPhN</w:t>
      </w:r>
      <w:proofErr w:type="spellEnd"/>
      <w:r>
        <w:t>/LLR)</w:t>
      </w:r>
    </w:p>
    <w:p w:rsidR="00770C87" w:rsidRDefault="00346ED7" w:rsidP="00770C87">
      <w:pPr>
        <w:pStyle w:val="Paragraphedeliste"/>
        <w:numPr>
          <w:ilvl w:val="0"/>
          <w:numId w:val="21"/>
        </w:numPr>
        <w:jc w:val="both"/>
      </w:pPr>
      <w:r>
        <w:t>Production du J/</w:t>
      </w:r>
      <w:r w:rsidRPr="00770C87">
        <w:rPr>
          <w:rFonts w:ascii="Symbol" w:hAnsi="Symbol"/>
        </w:rPr>
        <w:t></w:t>
      </w:r>
      <w:r>
        <w:t xml:space="preserve"> </w:t>
      </w:r>
      <w:r>
        <w:sym w:font="Wingdings" w:char="F0E0"/>
      </w:r>
      <w:r>
        <w:t xml:space="preserve"> e+e- pour les données Au+Au 2007 (thèse d’</w:t>
      </w:r>
      <w:proofErr w:type="spellStart"/>
      <w:r>
        <w:t>Ermias</w:t>
      </w:r>
      <w:proofErr w:type="spellEnd"/>
      <w:r>
        <w:t xml:space="preserve"> </w:t>
      </w:r>
      <w:proofErr w:type="spellStart"/>
      <w:r>
        <w:t>Tujuba</w:t>
      </w:r>
      <w:proofErr w:type="spellEnd"/>
      <w:r>
        <w:t xml:space="preserve"> </w:t>
      </w:r>
      <w:proofErr w:type="spellStart"/>
      <w:r>
        <w:t>Atomssa</w:t>
      </w:r>
      <w:proofErr w:type="spellEnd"/>
      <w:r>
        <w:t xml:space="preserve"> - LLR)</w:t>
      </w:r>
    </w:p>
    <w:p w:rsidR="00770C87" w:rsidRDefault="00346ED7" w:rsidP="00770C87">
      <w:pPr>
        <w:pStyle w:val="Paragraphedeliste"/>
        <w:numPr>
          <w:ilvl w:val="0"/>
          <w:numId w:val="21"/>
        </w:numPr>
        <w:jc w:val="both"/>
      </w:pPr>
      <w:r>
        <w:t>Production du J/</w:t>
      </w:r>
      <w:r w:rsidRPr="00770C87">
        <w:rPr>
          <w:rFonts w:ascii="Symbol" w:hAnsi="Symbol"/>
        </w:rPr>
        <w:t></w:t>
      </w:r>
      <w:r>
        <w:t xml:space="preserve"> </w:t>
      </w:r>
      <w:r>
        <w:sym w:font="Wingdings" w:char="F0E0"/>
      </w:r>
      <w:r>
        <w:t xml:space="preserve"> </w:t>
      </w:r>
      <w:r w:rsidRPr="00770C87">
        <w:rPr>
          <w:rFonts w:ascii="Symbol" w:hAnsi="Symbol"/>
        </w:rPr>
        <w:t></w:t>
      </w:r>
      <w:r>
        <w:t>+</w:t>
      </w:r>
      <w:r w:rsidRPr="00770C87">
        <w:rPr>
          <w:rFonts w:ascii="Symbol" w:hAnsi="Symbol"/>
        </w:rPr>
        <w:t></w:t>
      </w:r>
      <w:r>
        <w:t>- pour les données d+Au 2008</w:t>
      </w:r>
      <w:r w:rsidR="00770C87">
        <w:t>.</w:t>
      </w:r>
    </w:p>
    <w:p w:rsidR="00F80A72" w:rsidRPr="00194CF8" w:rsidRDefault="00770C87" w:rsidP="00194CF8">
      <w:pPr>
        <w:pStyle w:val="Paragraphedeliste"/>
        <w:numPr>
          <w:ilvl w:val="0"/>
          <w:numId w:val="21"/>
        </w:numPr>
        <w:jc w:val="both"/>
      </w:pPr>
      <w:r>
        <w:t xml:space="preserve">Production du Υ </w:t>
      </w:r>
      <w:r>
        <w:sym w:font="Wingdings" w:char="F0E0"/>
      </w:r>
      <w:r>
        <w:t xml:space="preserve"> e+e- pour les données Au+Au 2007.</w:t>
      </w:r>
    </w:p>
    <w:p w:rsidR="00604626" w:rsidRPr="00DF015C" w:rsidRDefault="00F80A72" w:rsidP="00346ED7">
      <w:pPr>
        <w:jc w:val="both"/>
      </w:pPr>
      <w:r>
        <w:t>Consécutivement, l</w:t>
      </w:r>
      <w:r w:rsidR="00604626">
        <w:t xml:space="preserve">es publications pour lesquelles la communauté française a eu une implication très directe sont </w:t>
      </w:r>
      <w:r w:rsidR="008B456C">
        <w:t>données ci-dessous :</w:t>
      </w:r>
    </w:p>
    <w:p w:rsidR="00DF015C" w:rsidRDefault="00DF015C" w:rsidP="00770C87">
      <w:pPr>
        <w:pStyle w:val="Paragraphedeliste"/>
        <w:numPr>
          <w:ilvl w:val="0"/>
          <w:numId w:val="22"/>
        </w:numPr>
        <w:jc w:val="both"/>
        <w:rPr>
          <w:lang w:val="en-US"/>
        </w:rPr>
      </w:pPr>
      <w:r w:rsidRPr="00DF015C">
        <w:rPr>
          <w:lang w:val="en-US"/>
        </w:rPr>
        <w:t xml:space="preserve">Measurement of the </w:t>
      </w:r>
      <w:r>
        <w:t>Υ</w:t>
      </w:r>
      <w:r w:rsidRPr="00DF015C">
        <w:rPr>
          <w:lang w:val="en-US"/>
        </w:rPr>
        <w:t xml:space="preserve"> cross section in </w:t>
      </w:r>
      <w:proofErr w:type="spellStart"/>
      <w:r w:rsidRPr="00DF015C">
        <w:rPr>
          <w:lang w:val="en-US"/>
        </w:rPr>
        <w:t>p+p</w:t>
      </w:r>
      <w:proofErr w:type="spellEnd"/>
      <w:r w:rsidRPr="00DF015C">
        <w:rPr>
          <w:lang w:val="en-US"/>
        </w:rPr>
        <w:t xml:space="preserve"> and implications to the nuclear modification factor in </w:t>
      </w:r>
      <w:proofErr w:type="spellStart"/>
      <w:r w:rsidRPr="00DF015C">
        <w:rPr>
          <w:lang w:val="en-US"/>
        </w:rPr>
        <w:t>Au+Au</w:t>
      </w:r>
      <w:proofErr w:type="spellEnd"/>
      <w:r w:rsidRPr="00DF015C">
        <w:rPr>
          <w:lang w:val="en-US"/>
        </w:rPr>
        <w:t xml:space="preserve"> collisions at √</w:t>
      </w:r>
      <w:proofErr w:type="spellStart"/>
      <w:r w:rsidRPr="00DF015C">
        <w:rPr>
          <w:lang w:val="en-US"/>
        </w:rPr>
        <w:t>s</w:t>
      </w:r>
      <w:r w:rsidRPr="00DF015C">
        <w:rPr>
          <w:vertAlign w:val="subscript"/>
          <w:lang w:val="en-US"/>
        </w:rPr>
        <w:t>NN</w:t>
      </w:r>
      <w:proofErr w:type="spellEnd"/>
      <w:r w:rsidR="00567C55">
        <w:rPr>
          <w:lang w:val="en-US"/>
        </w:rPr>
        <w:t xml:space="preserve"> = 200 </w:t>
      </w:r>
      <w:proofErr w:type="spellStart"/>
      <w:r w:rsidR="00567C55">
        <w:rPr>
          <w:lang w:val="en-US"/>
        </w:rPr>
        <w:t>GeV</w:t>
      </w:r>
      <w:proofErr w:type="spellEnd"/>
      <w:r w:rsidR="00567C55">
        <w:rPr>
          <w:lang w:val="en-US"/>
        </w:rPr>
        <w:t xml:space="preserve">. En </w:t>
      </w:r>
      <w:proofErr w:type="spellStart"/>
      <w:r w:rsidR="00567C55">
        <w:rPr>
          <w:lang w:val="en-US"/>
        </w:rPr>
        <w:t>pré</w:t>
      </w:r>
      <w:r w:rsidRPr="00DF015C">
        <w:rPr>
          <w:lang w:val="en-US"/>
        </w:rPr>
        <w:t>paration</w:t>
      </w:r>
      <w:proofErr w:type="spellEnd"/>
      <w:r w:rsidRPr="00DF015C">
        <w:rPr>
          <w:lang w:val="en-US"/>
        </w:rPr>
        <w:t>.</w:t>
      </w:r>
    </w:p>
    <w:p w:rsidR="00DF015C" w:rsidRDefault="00DF015C" w:rsidP="00770C87">
      <w:pPr>
        <w:pStyle w:val="Paragraphedeliste"/>
        <w:numPr>
          <w:ilvl w:val="0"/>
          <w:numId w:val="22"/>
        </w:numPr>
        <w:jc w:val="both"/>
        <w:rPr>
          <w:lang w:val="en-US"/>
        </w:rPr>
      </w:pPr>
      <w:r w:rsidRPr="00DF015C">
        <w:rPr>
          <w:lang w:val="en-US"/>
        </w:rPr>
        <w:t>J/</w:t>
      </w:r>
      <w:r>
        <w:t>ψ</w:t>
      </w:r>
      <w:r w:rsidRPr="00DF015C">
        <w:rPr>
          <w:lang w:val="en-US"/>
        </w:rPr>
        <w:t xml:space="preserve"> suppression in cold nuclear matter measured at </w:t>
      </w:r>
      <w:r w:rsidR="00567C55">
        <w:rPr>
          <w:lang w:val="en-US"/>
        </w:rPr>
        <w:sym w:font="Symbol" w:char="F0D6"/>
      </w:r>
      <w:r w:rsidR="00567C55">
        <w:rPr>
          <w:lang w:val="en-US"/>
        </w:rPr>
        <w:t>s</w:t>
      </w:r>
      <w:r w:rsidRPr="00DF015C">
        <w:rPr>
          <w:lang w:val="en-US"/>
        </w:rPr>
        <w:t xml:space="preserve">=200 </w:t>
      </w:r>
      <w:proofErr w:type="spellStart"/>
      <w:r w:rsidRPr="00DF015C">
        <w:rPr>
          <w:lang w:val="en-US"/>
        </w:rPr>
        <w:t>GeV</w:t>
      </w:r>
      <w:proofErr w:type="spellEnd"/>
      <w:r w:rsidRPr="00DF015C">
        <w:rPr>
          <w:lang w:val="en-US"/>
        </w:rPr>
        <w:t xml:space="preserve"> using the PHENIX detector</w:t>
      </w:r>
      <w:r w:rsidR="00567C55">
        <w:rPr>
          <w:lang w:val="en-US"/>
        </w:rPr>
        <w:t xml:space="preserve">. En </w:t>
      </w:r>
      <w:proofErr w:type="spellStart"/>
      <w:r w:rsidR="00567C55">
        <w:rPr>
          <w:lang w:val="en-US"/>
        </w:rPr>
        <w:t>pré</w:t>
      </w:r>
      <w:r>
        <w:rPr>
          <w:lang w:val="en-US"/>
        </w:rPr>
        <w:t>paration</w:t>
      </w:r>
      <w:proofErr w:type="spellEnd"/>
      <w:r>
        <w:rPr>
          <w:lang w:val="en-US"/>
        </w:rPr>
        <w:t>.</w:t>
      </w:r>
    </w:p>
    <w:p w:rsidR="00DF015C" w:rsidRDefault="00DF015C" w:rsidP="00770C87">
      <w:pPr>
        <w:pStyle w:val="Paragraphedeliste"/>
        <w:numPr>
          <w:ilvl w:val="0"/>
          <w:numId w:val="22"/>
        </w:numPr>
        <w:jc w:val="both"/>
        <w:rPr>
          <w:lang w:val="en-US"/>
        </w:rPr>
      </w:pPr>
      <w:proofErr w:type="spellStart"/>
      <w:r w:rsidRPr="00DF015C">
        <w:rPr>
          <w:lang w:val="en-US"/>
        </w:rPr>
        <w:t>Photoproduction</w:t>
      </w:r>
      <w:proofErr w:type="spellEnd"/>
      <w:r w:rsidRPr="00DF015C">
        <w:rPr>
          <w:lang w:val="en-US"/>
        </w:rPr>
        <w:t xml:space="preserve"> of </w:t>
      </w:r>
      <w:bookmarkStart w:id="8" w:name="mml40"/>
      <w:bookmarkEnd w:id="8"/>
      <w:r w:rsidR="000B4253" w:rsidRPr="00D0119A">
        <w:fldChar w:fldCharType="begin"/>
      </w:r>
      <w:r w:rsidRPr="00D0119A">
        <w:rPr>
          <w:lang w:val="en-US"/>
        </w:rPr>
        <w:instrText xml:space="preserve"> HYPERLINK "http://www.sciencedirect.com/science?_ob=MathURL&amp;_method=retrieve&amp;_udi=B6TVN-4WXBM5P-9&amp;_mathId=mml40&amp;_user=162904&amp;_cdi=5539&amp;_pii=S0370269309008983&amp;_rdoc=1&amp;_issn=03702693&amp;_acct=C000013078&amp;_version=1&amp;_userid=162904&amp;md5=88fb47525621321a595cd6569f768fe1" \o "Click to view the MathML source" </w:instrText>
      </w:r>
      <w:r w:rsidR="000B4253" w:rsidRPr="00D0119A">
        <w:fldChar w:fldCharType="separate"/>
      </w:r>
      <w:r w:rsidRPr="00D0119A">
        <w:rPr>
          <w:rStyle w:val="Lienhypertexte"/>
          <w:iCs/>
          <w:color w:val="000000"/>
          <w:u w:val="none"/>
          <w:lang w:val="en-US"/>
        </w:rPr>
        <w:t>J</w:t>
      </w:r>
      <w:r w:rsidRPr="00D0119A">
        <w:rPr>
          <w:rStyle w:val="Lienhypertexte"/>
          <w:color w:val="000000"/>
          <w:u w:val="none"/>
          <w:lang w:val="en-US"/>
        </w:rPr>
        <w:t>/</w:t>
      </w:r>
      <w:r w:rsidRPr="00D0119A">
        <w:rPr>
          <w:rStyle w:val="Lienhypertexte"/>
          <w:iCs/>
          <w:color w:val="000000"/>
          <w:u w:val="none"/>
        </w:rPr>
        <w:t>ψ</w:t>
      </w:r>
      <w:r w:rsidR="000B4253" w:rsidRPr="00D0119A">
        <w:fldChar w:fldCharType="end"/>
      </w:r>
      <w:r w:rsidRPr="00DF015C">
        <w:rPr>
          <w:lang w:val="en-US"/>
        </w:rPr>
        <w:t xml:space="preserve"> and of high mass </w:t>
      </w:r>
      <w:bookmarkStart w:id="9" w:name="mml41"/>
      <w:bookmarkEnd w:id="9"/>
      <w:r w:rsidR="000B4253" w:rsidRPr="00D0119A">
        <w:fldChar w:fldCharType="begin"/>
      </w:r>
      <w:r w:rsidRPr="00D0119A">
        <w:rPr>
          <w:lang w:val="en-US"/>
        </w:rPr>
        <w:instrText xml:space="preserve"> HYPERLINK "http://www.sciencedirect.com/science?_ob=MathURL&amp;_method=retrieve&amp;_udi=B6TVN-4WXBM5P-9&amp;_mathId=mml41&amp;_user=162904&amp;_cdi=5539&amp;_pii=S0370269309008983&amp;_rdoc=1&amp;_issn=03702693&amp;_acct=C000013078&amp;_version=1&amp;_userid=162904&amp;md5=dd080af774adf195f40e4bf8667771f7" \o "Click to view the MathML source" </w:instrText>
      </w:r>
      <w:r w:rsidR="000B4253" w:rsidRPr="00D0119A">
        <w:fldChar w:fldCharType="separate"/>
      </w:r>
      <w:proofErr w:type="spellStart"/>
      <w:r w:rsidRPr="00D0119A">
        <w:rPr>
          <w:rStyle w:val="Lienhypertexte"/>
          <w:iCs/>
          <w:color w:val="000000"/>
          <w:u w:val="none"/>
          <w:lang w:val="en-US"/>
        </w:rPr>
        <w:t>e</w:t>
      </w:r>
      <w:r w:rsidRPr="00D0119A">
        <w:rPr>
          <w:rStyle w:val="Lienhypertexte"/>
          <w:color w:val="000000"/>
          <w:u w:val="none"/>
          <w:vertAlign w:val="superscript"/>
          <w:lang w:val="en-US"/>
        </w:rPr>
        <w:t>+</w:t>
      </w:r>
      <w:r w:rsidRPr="00D0119A">
        <w:rPr>
          <w:rStyle w:val="Lienhypertexte"/>
          <w:iCs/>
          <w:color w:val="000000"/>
          <w:u w:val="none"/>
          <w:lang w:val="en-US"/>
        </w:rPr>
        <w:t>e</w:t>
      </w:r>
      <w:proofErr w:type="spellEnd"/>
      <w:r w:rsidRPr="00D0119A">
        <w:rPr>
          <w:rStyle w:val="Lienhypertexte"/>
          <w:color w:val="000000"/>
          <w:u w:val="none"/>
          <w:vertAlign w:val="superscript"/>
          <w:lang w:val="en-US"/>
        </w:rPr>
        <w:t>−</w:t>
      </w:r>
      <w:r w:rsidR="000B4253" w:rsidRPr="00D0119A">
        <w:fldChar w:fldCharType="end"/>
      </w:r>
      <w:r w:rsidRPr="00DF015C">
        <w:rPr>
          <w:lang w:val="en-US"/>
        </w:rPr>
        <w:t xml:space="preserve"> in ultra-peripheral Au + Au collisions at </w:t>
      </w:r>
      <w:bookmarkStart w:id="10" w:name="mml42"/>
      <w:bookmarkEnd w:id="10"/>
      <w:r w:rsidRPr="00DF015C">
        <w:rPr>
          <w:noProof/>
          <w:lang w:val="en-US" w:eastAsia="fr-FR"/>
        </w:rPr>
        <w:t>200 GeV</w:t>
      </w:r>
      <w:r>
        <w:rPr>
          <w:lang w:val="en-US"/>
        </w:rPr>
        <w:t xml:space="preserve">. </w:t>
      </w:r>
      <w:r w:rsidRPr="00567C55">
        <w:rPr>
          <w:i/>
          <w:lang w:val="en-US"/>
        </w:rPr>
        <w:t xml:space="preserve">Phys. </w:t>
      </w:r>
      <w:proofErr w:type="spellStart"/>
      <w:r w:rsidRPr="00567C55">
        <w:rPr>
          <w:i/>
          <w:lang w:val="en-US"/>
        </w:rPr>
        <w:t>Lett</w:t>
      </w:r>
      <w:proofErr w:type="spellEnd"/>
      <w:r w:rsidRPr="00567C55">
        <w:rPr>
          <w:i/>
          <w:lang w:val="en-US"/>
        </w:rPr>
        <w:t>. B 679, 321-329 (2009)</w:t>
      </w:r>
    </w:p>
    <w:p w:rsidR="007A1142" w:rsidRPr="00567C55" w:rsidRDefault="007A1142" w:rsidP="00770C87">
      <w:pPr>
        <w:pStyle w:val="Paragraphedeliste"/>
        <w:numPr>
          <w:ilvl w:val="0"/>
          <w:numId w:val="22"/>
        </w:numPr>
        <w:jc w:val="both"/>
        <w:rPr>
          <w:i/>
          <w:lang w:val="en-US"/>
        </w:rPr>
      </w:pPr>
      <w:r w:rsidRPr="00567C55">
        <w:rPr>
          <w:lang w:val="en-US"/>
        </w:rPr>
        <w:lastRenderedPageBreak/>
        <w:t xml:space="preserve">Cold nuclear matter effects on </w:t>
      </w:r>
      <w:r w:rsidRPr="00567C55">
        <w:rPr>
          <w:iCs/>
          <w:lang w:val="en-US"/>
        </w:rPr>
        <w:t>J</w:t>
      </w:r>
      <w:r w:rsidRPr="00567C55">
        <w:rPr>
          <w:lang w:val="en-US"/>
        </w:rPr>
        <w:t>/</w:t>
      </w:r>
      <w:r w:rsidRPr="00567C55">
        <w:rPr>
          <w:iCs/>
        </w:rPr>
        <w:t>ψ</w:t>
      </w:r>
      <w:r w:rsidRPr="00567C55">
        <w:rPr>
          <w:lang w:val="en-US"/>
        </w:rPr>
        <w:t xml:space="preserve"> production as constrained by</w:t>
      </w:r>
      <w:r w:rsidR="00DF015C" w:rsidRPr="00567C55">
        <w:rPr>
          <w:lang w:val="en-US"/>
        </w:rPr>
        <w:t xml:space="preserve"> deuteron-gold measurements at </w:t>
      </w:r>
      <w:r w:rsidRPr="00567C55">
        <w:rPr>
          <w:lang w:val="en-US"/>
        </w:rPr>
        <w:t xml:space="preserve">200 </w:t>
      </w:r>
      <w:proofErr w:type="spellStart"/>
      <w:r w:rsidRPr="00567C55">
        <w:rPr>
          <w:lang w:val="en-US"/>
        </w:rPr>
        <w:t>GeV</w:t>
      </w:r>
      <w:proofErr w:type="spellEnd"/>
      <w:r w:rsidRPr="00567C55">
        <w:rPr>
          <w:lang w:val="en-US"/>
        </w:rPr>
        <w:t xml:space="preserve">. </w:t>
      </w:r>
      <w:r w:rsidRPr="00567C55">
        <w:rPr>
          <w:i/>
          <w:lang w:val="en-US"/>
        </w:rPr>
        <w:t>Phys. Rev. C 77, 024912 (2008)</w:t>
      </w:r>
    </w:p>
    <w:p w:rsidR="007A1142" w:rsidRPr="00567C55" w:rsidRDefault="007A1142" w:rsidP="00770C87">
      <w:pPr>
        <w:pStyle w:val="Paragraphedeliste"/>
        <w:numPr>
          <w:ilvl w:val="0"/>
          <w:numId w:val="22"/>
        </w:numPr>
        <w:jc w:val="both"/>
      </w:pPr>
      <w:r w:rsidRPr="00567C55">
        <w:rPr>
          <w:iCs/>
        </w:rPr>
        <w:t>J</w:t>
      </w:r>
      <w:r w:rsidRPr="00567C55">
        <w:t>/</w:t>
      </w:r>
      <w:r w:rsidRPr="00567C55">
        <w:rPr>
          <w:iCs/>
        </w:rPr>
        <w:t>ψ</w:t>
      </w:r>
      <w:r w:rsidR="00DF015C" w:rsidRPr="00567C55">
        <w:t xml:space="preserve"> Production in </w:t>
      </w:r>
      <w:r w:rsidRPr="00567C55">
        <w:t xml:space="preserve">200 </w:t>
      </w:r>
      <w:r w:rsidRPr="00567C55">
        <w:rPr>
          <w:rFonts w:ascii="Cambria Math" w:hAnsi="Cambria Math" w:cs="Cambria Math"/>
        </w:rPr>
        <w:t>  </w:t>
      </w:r>
      <w:proofErr w:type="spellStart"/>
      <w:r w:rsidRPr="00567C55">
        <w:rPr>
          <w:iCs/>
        </w:rPr>
        <w:t>GeV</w:t>
      </w:r>
      <w:proofErr w:type="spellEnd"/>
      <w:r w:rsidRPr="00567C55">
        <w:t xml:space="preserve"> Cu+Cu Collisions. </w:t>
      </w:r>
      <w:r w:rsidRPr="00567C55">
        <w:rPr>
          <w:i/>
        </w:rPr>
        <w:t xml:space="preserve">Phys. </w:t>
      </w:r>
      <w:proofErr w:type="spellStart"/>
      <w:r w:rsidRPr="00567C55">
        <w:rPr>
          <w:i/>
        </w:rPr>
        <w:t>Rev</w:t>
      </w:r>
      <w:proofErr w:type="spellEnd"/>
      <w:r w:rsidRPr="00567C55">
        <w:rPr>
          <w:i/>
        </w:rPr>
        <w:t xml:space="preserve">. </w:t>
      </w:r>
      <w:proofErr w:type="spellStart"/>
      <w:r w:rsidRPr="00567C55">
        <w:rPr>
          <w:i/>
        </w:rPr>
        <w:t>Lett</w:t>
      </w:r>
      <w:proofErr w:type="spellEnd"/>
      <w:r w:rsidRPr="00567C55">
        <w:rPr>
          <w:i/>
        </w:rPr>
        <w:t>. 101, 122301 (2008)</w:t>
      </w:r>
    </w:p>
    <w:p w:rsidR="007A1142" w:rsidRPr="00567C55" w:rsidRDefault="007A1142" w:rsidP="00770C87">
      <w:pPr>
        <w:pStyle w:val="Paragraphedeliste"/>
        <w:numPr>
          <w:ilvl w:val="0"/>
          <w:numId w:val="22"/>
        </w:numPr>
        <w:jc w:val="both"/>
        <w:rPr>
          <w:i/>
          <w:lang w:val="en-US"/>
        </w:rPr>
      </w:pPr>
      <w:r w:rsidRPr="00567C55">
        <w:rPr>
          <w:iCs/>
          <w:lang w:val="en-US"/>
        </w:rPr>
        <w:t>J</w:t>
      </w:r>
      <w:r w:rsidRPr="00567C55">
        <w:rPr>
          <w:lang w:val="en-US"/>
        </w:rPr>
        <w:t>/</w:t>
      </w:r>
      <w:r w:rsidRPr="00567C55">
        <w:rPr>
          <w:iCs/>
        </w:rPr>
        <w:t>ψ</w:t>
      </w:r>
      <w:r w:rsidRPr="00567C55">
        <w:rPr>
          <w:lang w:val="en-US"/>
        </w:rPr>
        <w:t xml:space="preserve"> Production versus Transverse Momentum and Rapidity in </w:t>
      </w:r>
      <w:proofErr w:type="spellStart"/>
      <w:r w:rsidRPr="00567C55">
        <w:rPr>
          <w:iCs/>
          <w:lang w:val="en-US"/>
        </w:rPr>
        <w:t>p</w:t>
      </w:r>
      <w:r w:rsidRPr="00567C55">
        <w:rPr>
          <w:lang w:val="en-US"/>
        </w:rPr>
        <w:t>+</w:t>
      </w:r>
      <w:r w:rsidRPr="00567C55">
        <w:rPr>
          <w:iCs/>
          <w:lang w:val="en-US"/>
        </w:rPr>
        <w:t>p</w:t>
      </w:r>
      <w:proofErr w:type="spellEnd"/>
      <w:r w:rsidR="00DF015C" w:rsidRPr="00567C55">
        <w:rPr>
          <w:lang w:val="en-US"/>
        </w:rPr>
        <w:t xml:space="preserve"> Collisions at </w:t>
      </w:r>
      <w:r w:rsidRPr="00567C55">
        <w:rPr>
          <w:lang w:val="en-US"/>
        </w:rPr>
        <w:t>200</w:t>
      </w:r>
      <w:proofErr w:type="gramStart"/>
      <w:r w:rsidRPr="00567C55">
        <w:rPr>
          <w:rFonts w:ascii="Cambria Math" w:hAnsi="Cambria Math" w:cs="Cambria Math"/>
          <w:lang w:val="en-US"/>
        </w:rPr>
        <w:t>  </w:t>
      </w:r>
      <w:proofErr w:type="spellStart"/>
      <w:r w:rsidRPr="00567C55">
        <w:rPr>
          <w:iCs/>
          <w:lang w:val="en-US"/>
        </w:rPr>
        <w:t>GeV</w:t>
      </w:r>
      <w:proofErr w:type="spellEnd"/>
      <w:proofErr w:type="gramEnd"/>
      <w:r w:rsidRPr="00567C55">
        <w:rPr>
          <w:iCs/>
          <w:lang w:val="en-US"/>
        </w:rPr>
        <w:t>.</w:t>
      </w:r>
      <w:r w:rsidRPr="00567C55">
        <w:rPr>
          <w:lang w:val="en-US"/>
        </w:rPr>
        <w:t xml:space="preserve"> </w:t>
      </w:r>
      <w:r w:rsidRPr="00567C55">
        <w:rPr>
          <w:i/>
          <w:lang w:val="en-US"/>
        </w:rPr>
        <w:t xml:space="preserve">Phys. Rev. </w:t>
      </w:r>
      <w:proofErr w:type="spellStart"/>
      <w:r w:rsidRPr="00567C55">
        <w:rPr>
          <w:i/>
          <w:lang w:val="en-US"/>
        </w:rPr>
        <w:t>Lett</w:t>
      </w:r>
      <w:proofErr w:type="spellEnd"/>
      <w:r w:rsidRPr="00567C55">
        <w:rPr>
          <w:i/>
          <w:lang w:val="en-US"/>
        </w:rPr>
        <w:t>. 98, 232002 (2007)</w:t>
      </w:r>
    </w:p>
    <w:p w:rsidR="007A1142" w:rsidRPr="00567C55" w:rsidRDefault="007A1142" w:rsidP="00770C87">
      <w:pPr>
        <w:pStyle w:val="Paragraphedeliste"/>
        <w:numPr>
          <w:ilvl w:val="0"/>
          <w:numId w:val="22"/>
        </w:numPr>
        <w:jc w:val="both"/>
      </w:pPr>
      <w:r w:rsidRPr="00567C55">
        <w:rPr>
          <w:iCs/>
        </w:rPr>
        <w:t>J</w:t>
      </w:r>
      <w:r w:rsidRPr="00567C55">
        <w:t>/</w:t>
      </w:r>
      <w:r w:rsidRPr="00567C55">
        <w:rPr>
          <w:iCs/>
        </w:rPr>
        <w:t>ψ</w:t>
      </w:r>
      <w:r w:rsidRPr="00567C55">
        <w:t xml:space="preserve"> Production versus </w:t>
      </w:r>
      <w:proofErr w:type="spellStart"/>
      <w:r w:rsidRPr="00567C55">
        <w:t>Centrality</w:t>
      </w:r>
      <w:proofErr w:type="spellEnd"/>
      <w:r w:rsidRPr="00567C55">
        <w:t xml:space="preserve">, Transverse </w:t>
      </w:r>
      <w:proofErr w:type="spellStart"/>
      <w:r w:rsidRPr="00567C55">
        <w:t>Momentum</w:t>
      </w:r>
      <w:proofErr w:type="spellEnd"/>
      <w:r w:rsidRPr="00567C55">
        <w:t>, and</w:t>
      </w:r>
      <w:r w:rsidR="00567C55">
        <w:t xml:space="preserve"> </w:t>
      </w:r>
      <w:proofErr w:type="spellStart"/>
      <w:r w:rsidRPr="00567C55">
        <w:t>R</w:t>
      </w:r>
      <w:r w:rsidR="00DF015C" w:rsidRPr="00567C55">
        <w:t>apidity</w:t>
      </w:r>
      <w:proofErr w:type="spellEnd"/>
      <w:r w:rsidR="00DF015C" w:rsidRPr="00567C55">
        <w:t xml:space="preserve"> in Au+Au Collisions </w:t>
      </w:r>
      <w:proofErr w:type="spellStart"/>
      <w:r w:rsidR="00DF015C" w:rsidRPr="00567C55">
        <w:t>at</w:t>
      </w:r>
      <w:proofErr w:type="spellEnd"/>
      <w:r w:rsidR="00DF015C" w:rsidRPr="00567C55">
        <w:t xml:space="preserve"> </w:t>
      </w:r>
      <w:r w:rsidRPr="00567C55">
        <w:t xml:space="preserve">200 </w:t>
      </w:r>
      <w:r w:rsidRPr="00567C55">
        <w:rPr>
          <w:rFonts w:ascii="Cambria Math" w:hAnsi="Cambria Math" w:cs="Cambria Math"/>
        </w:rPr>
        <w:t>  </w:t>
      </w:r>
      <w:proofErr w:type="spellStart"/>
      <w:r w:rsidRPr="00567C55">
        <w:rPr>
          <w:iCs/>
        </w:rPr>
        <w:t>GeV</w:t>
      </w:r>
      <w:proofErr w:type="spellEnd"/>
      <w:r w:rsidRPr="00567C55">
        <w:rPr>
          <w:iCs/>
        </w:rPr>
        <w:t xml:space="preserve">. </w:t>
      </w:r>
      <w:r w:rsidRPr="00567C55">
        <w:rPr>
          <w:i/>
        </w:rPr>
        <w:t xml:space="preserve">Phys. </w:t>
      </w:r>
      <w:proofErr w:type="spellStart"/>
      <w:r w:rsidRPr="00567C55">
        <w:rPr>
          <w:i/>
        </w:rPr>
        <w:t>Rev</w:t>
      </w:r>
      <w:proofErr w:type="spellEnd"/>
      <w:r w:rsidRPr="00567C55">
        <w:rPr>
          <w:i/>
        </w:rPr>
        <w:t xml:space="preserve">. </w:t>
      </w:r>
      <w:proofErr w:type="spellStart"/>
      <w:r w:rsidRPr="00567C55">
        <w:rPr>
          <w:i/>
        </w:rPr>
        <w:t>Lett</w:t>
      </w:r>
      <w:proofErr w:type="spellEnd"/>
      <w:r w:rsidRPr="00567C55">
        <w:rPr>
          <w:i/>
        </w:rPr>
        <w:t>. 98, 232301 (2007)</w:t>
      </w:r>
    </w:p>
    <w:p w:rsidR="007A1142" w:rsidRPr="00567C55" w:rsidRDefault="007A1142" w:rsidP="00770C87">
      <w:pPr>
        <w:pStyle w:val="Paragraphedeliste"/>
        <w:numPr>
          <w:ilvl w:val="0"/>
          <w:numId w:val="22"/>
        </w:numPr>
        <w:jc w:val="both"/>
        <w:rPr>
          <w:lang w:val="en-US"/>
        </w:rPr>
      </w:pPr>
      <w:proofErr w:type="spellStart"/>
      <w:r w:rsidRPr="00567C55">
        <w:rPr>
          <w:lang w:val="en-US"/>
        </w:rPr>
        <w:t>Midrapidity</w:t>
      </w:r>
      <w:proofErr w:type="spellEnd"/>
      <w:r w:rsidRPr="00567C55">
        <w:rPr>
          <w:lang w:val="en-US"/>
        </w:rPr>
        <w:t xml:space="preserve"> direct-photon production in </w:t>
      </w:r>
      <w:proofErr w:type="spellStart"/>
      <w:r w:rsidRPr="00567C55">
        <w:rPr>
          <w:iCs/>
          <w:lang w:val="en-US"/>
        </w:rPr>
        <w:t>p</w:t>
      </w:r>
      <w:r w:rsidRPr="00567C55">
        <w:rPr>
          <w:lang w:val="en-US"/>
        </w:rPr>
        <w:t>+</w:t>
      </w:r>
      <w:r w:rsidRPr="00567C55">
        <w:rPr>
          <w:iCs/>
          <w:lang w:val="en-US"/>
        </w:rPr>
        <w:t>p</w:t>
      </w:r>
      <w:proofErr w:type="spellEnd"/>
      <w:r w:rsidRPr="00567C55">
        <w:rPr>
          <w:lang w:val="en-US"/>
        </w:rPr>
        <w:t xml:space="preserve"> collisions at 200</w:t>
      </w:r>
      <w:proofErr w:type="gramStart"/>
      <w:r w:rsidRPr="00567C55">
        <w:rPr>
          <w:rFonts w:ascii="Cambria Math" w:hAnsi="Cambria Math" w:cs="Cambria Math"/>
          <w:lang w:val="en-US"/>
        </w:rPr>
        <w:t>  </w:t>
      </w:r>
      <w:proofErr w:type="spellStart"/>
      <w:r w:rsidRPr="00567C55">
        <w:rPr>
          <w:iCs/>
          <w:lang w:val="en-US"/>
        </w:rPr>
        <w:t>GeV</w:t>
      </w:r>
      <w:proofErr w:type="spellEnd"/>
      <w:proofErr w:type="gramEnd"/>
      <w:r w:rsidRPr="00567C55">
        <w:rPr>
          <w:iCs/>
          <w:lang w:val="en-US"/>
        </w:rPr>
        <w:t xml:space="preserve">. </w:t>
      </w:r>
      <w:r w:rsidRPr="00567C55">
        <w:rPr>
          <w:i/>
          <w:iCs/>
          <w:lang w:val="en-US"/>
        </w:rPr>
        <w:t>Phys. Rev. D71, 071102 (2005)</w:t>
      </w:r>
    </w:p>
    <w:p w:rsidR="007A1142" w:rsidRPr="00567C55" w:rsidRDefault="007A1142" w:rsidP="00770C87">
      <w:pPr>
        <w:pStyle w:val="Paragraphedeliste"/>
        <w:numPr>
          <w:ilvl w:val="0"/>
          <w:numId w:val="22"/>
        </w:numPr>
        <w:jc w:val="both"/>
        <w:rPr>
          <w:lang w:val="en-US"/>
        </w:rPr>
      </w:pPr>
      <w:r w:rsidRPr="00567C55">
        <w:rPr>
          <w:iCs/>
          <w:lang w:val="en-US"/>
        </w:rPr>
        <w:t>J</w:t>
      </w:r>
      <w:r w:rsidRPr="00567C55">
        <w:rPr>
          <w:lang w:val="en-US"/>
        </w:rPr>
        <w:t>/</w:t>
      </w:r>
      <w:r w:rsidRPr="00567C55">
        <w:rPr>
          <w:iCs/>
        </w:rPr>
        <w:t>ψ</w:t>
      </w:r>
      <w:r w:rsidRPr="00567C55">
        <w:rPr>
          <w:lang w:val="en-US"/>
        </w:rPr>
        <w:t xml:space="preserve"> Production and Nuclear Effects for </w:t>
      </w:r>
      <w:proofErr w:type="spellStart"/>
      <w:r w:rsidRPr="00567C55">
        <w:rPr>
          <w:lang w:val="en-US"/>
        </w:rPr>
        <w:t>d+Au</w:t>
      </w:r>
      <w:proofErr w:type="spellEnd"/>
      <w:r w:rsidRPr="00567C55">
        <w:rPr>
          <w:lang w:val="en-US"/>
        </w:rPr>
        <w:t xml:space="preserve"> and </w:t>
      </w:r>
      <w:proofErr w:type="spellStart"/>
      <w:r w:rsidRPr="00567C55">
        <w:rPr>
          <w:iCs/>
          <w:lang w:val="en-US"/>
        </w:rPr>
        <w:t>p</w:t>
      </w:r>
      <w:r w:rsidRPr="00567C55">
        <w:rPr>
          <w:lang w:val="en-US"/>
        </w:rPr>
        <w:t>+</w:t>
      </w:r>
      <w:r w:rsidRPr="00567C55">
        <w:rPr>
          <w:iCs/>
          <w:lang w:val="en-US"/>
        </w:rPr>
        <w:t>p</w:t>
      </w:r>
      <w:proofErr w:type="spellEnd"/>
      <w:r w:rsidRPr="00567C55">
        <w:rPr>
          <w:lang w:val="en-US"/>
        </w:rPr>
        <w:t xml:space="preserve"> Collisions at 200 </w:t>
      </w:r>
      <w:r w:rsidRPr="00567C55">
        <w:rPr>
          <w:rFonts w:ascii="Cambria Math" w:hAnsi="Cambria Math" w:cs="Cambria Math"/>
          <w:lang w:val="en-US"/>
        </w:rPr>
        <w:t>  </w:t>
      </w:r>
      <w:proofErr w:type="spellStart"/>
      <w:r w:rsidRPr="00567C55">
        <w:rPr>
          <w:iCs/>
          <w:lang w:val="en-US"/>
        </w:rPr>
        <w:t>GeV</w:t>
      </w:r>
      <w:proofErr w:type="spellEnd"/>
      <w:r w:rsidRPr="00567C55">
        <w:rPr>
          <w:iCs/>
          <w:lang w:val="en-US"/>
        </w:rPr>
        <w:t xml:space="preserve">. </w:t>
      </w:r>
      <w:r w:rsidRPr="00567C55">
        <w:rPr>
          <w:i/>
          <w:iCs/>
          <w:lang w:val="en-US"/>
        </w:rPr>
        <w:t xml:space="preserve">Phys. Rev. </w:t>
      </w:r>
      <w:proofErr w:type="spellStart"/>
      <w:r w:rsidRPr="00567C55">
        <w:rPr>
          <w:i/>
          <w:iCs/>
          <w:lang w:val="en-US"/>
        </w:rPr>
        <w:t>Lett</w:t>
      </w:r>
      <w:proofErr w:type="spellEnd"/>
      <w:r w:rsidRPr="00567C55">
        <w:rPr>
          <w:i/>
          <w:iCs/>
          <w:lang w:val="en-US"/>
        </w:rPr>
        <w:t>. 96, 012304 (2006)</w:t>
      </w:r>
    </w:p>
    <w:p w:rsidR="001C3E07" w:rsidRPr="00567C55" w:rsidRDefault="001C3E07" w:rsidP="00770C87">
      <w:pPr>
        <w:pStyle w:val="Paragraphedeliste"/>
        <w:numPr>
          <w:ilvl w:val="0"/>
          <w:numId w:val="22"/>
        </w:numPr>
        <w:jc w:val="both"/>
      </w:pPr>
      <w:r w:rsidRPr="00567C55">
        <w:t xml:space="preserve">Absence of Suppression in </w:t>
      </w:r>
      <w:proofErr w:type="spellStart"/>
      <w:r w:rsidRPr="00567C55">
        <w:t>Particle</w:t>
      </w:r>
      <w:proofErr w:type="spellEnd"/>
      <w:r w:rsidRPr="00567C55">
        <w:t xml:space="preserve"> Production </w:t>
      </w:r>
      <w:proofErr w:type="spellStart"/>
      <w:r w:rsidRPr="00567C55">
        <w:t>at</w:t>
      </w:r>
      <w:proofErr w:type="spellEnd"/>
      <w:r w:rsidRPr="00567C55">
        <w:t xml:space="preserve"> Large Transverse </w:t>
      </w:r>
      <w:proofErr w:type="spellStart"/>
      <w:r w:rsidRPr="00567C55">
        <w:t>Momentum</w:t>
      </w:r>
      <w:proofErr w:type="spellEnd"/>
      <w:r w:rsidRPr="00567C55">
        <w:t xml:space="preserve"> in 200 </w:t>
      </w:r>
      <w:r w:rsidRPr="00567C55">
        <w:rPr>
          <w:rFonts w:ascii="Cambria Math" w:hAnsi="Cambria Math" w:cs="Cambria Math"/>
        </w:rPr>
        <w:t>  </w:t>
      </w:r>
      <w:proofErr w:type="spellStart"/>
      <w:r w:rsidRPr="00567C55">
        <w:t>GeV</w:t>
      </w:r>
      <w:proofErr w:type="spellEnd"/>
      <w:r w:rsidRPr="00567C55">
        <w:t xml:space="preserve"> d+Au Collisions</w:t>
      </w:r>
      <w:r w:rsidR="007A1142" w:rsidRPr="00567C55">
        <w:t xml:space="preserve">. </w:t>
      </w:r>
      <w:r w:rsidR="007A1142" w:rsidRPr="00567C55">
        <w:rPr>
          <w:i/>
        </w:rPr>
        <w:t xml:space="preserve">Phys. </w:t>
      </w:r>
      <w:proofErr w:type="spellStart"/>
      <w:r w:rsidR="007A1142" w:rsidRPr="00567C55">
        <w:rPr>
          <w:i/>
        </w:rPr>
        <w:t>Rev</w:t>
      </w:r>
      <w:proofErr w:type="spellEnd"/>
      <w:r w:rsidR="007A1142" w:rsidRPr="00567C55">
        <w:rPr>
          <w:i/>
        </w:rPr>
        <w:t xml:space="preserve">. </w:t>
      </w:r>
      <w:proofErr w:type="spellStart"/>
      <w:r w:rsidR="007A1142" w:rsidRPr="00567C55">
        <w:rPr>
          <w:i/>
        </w:rPr>
        <w:t>Lett</w:t>
      </w:r>
      <w:proofErr w:type="spellEnd"/>
      <w:r w:rsidR="007A1142" w:rsidRPr="00567C55">
        <w:rPr>
          <w:i/>
        </w:rPr>
        <w:t>. 91, 072303 (2003)</w:t>
      </w:r>
    </w:p>
    <w:p w:rsidR="001C3E07" w:rsidRPr="00567C55" w:rsidRDefault="001C3E07" w:rsidP="00770C87">
      <w:pPr>
        <w:pStyle w:val="Paragraphedeliste"/>
        <w:numPr>
          <w:ilvl w:val="0"/>
          <w:numId w:val="22"/>
        </w:numPr>
        <w:jc w:val="both"/>
        <w:rPr>
          <w:lang w:val="en-US"/>
        </w:rPr>
      </w:pPr>
      <w:r w:rsidRPr="00567C55">
        <w:rPr>
          <w:lang w:val="en-US"/>
        </w:rPr>
        <w:t xml:space="preserve">Suppressed </w:t>
      </w:r>
      <w:r w:rsidRPr="00567C55">
        <w:rPr>
          <w:rFonts w:ascii="Symbol" w:hAnsi="Symbol"/>
          <w:lang w:val="en-US"/>
        </w:rPr>
        <w:t></w:t>
      </w:r>
      <w:r w:rsidRPr="00567C55">
        <w:rPr>
          <w:vertAlign w:val="superscript"/>
          <w:lang w:val="en-US"/>
        </w:rPr>
        <w:t>0</w:t>
      </w:r>
      <w:r w:rsidRPr="00567C55">
        <w:rPr>
          <w:lang w:val="en-US"/>
        </w:rPr>
        <w:t xml:space="preserve"> production at large transverse momentum in central </w:t>
      </w:r>
      <w:proofErr w:type="spellStart"/>
      <w:r w:rsidRPr="00567C55">
        <w:rPr>
          <w:lang w:val="en-US"/>
        </w:rPr>
        <w:t>Au+Au</w:t>
      </w:r>
      <w:proofErr w:type="spellEnd"/>
      <w:r w:rsidRPr="00567C55">
        <w:rPr>
          <w:lang w:val="en-US"/>
        </w:rPr>
        <w:t xml:space="preserve"> collisions at 200 </w:t>
      </w:r>
      <w:proofErr w:type="spellStart"/>
      <w:r w:rsidRPr="00567C55">
        <w:rPr>
          <w:lang w:val="en-US"/>
        </w:rPr>
        <w:t>GeV</w:t>
      </w:r>
      <w:proofErr w:type="spellEnd"/>
      <w:r w:rsidRPr="00567C55">
        <w:rPr>
          <w:lang w:val="en-US"/>
        </w:rPr>
        <w:t xml:space="preserve">. </w:t>
      </w:r>
      <w:r w:rsidRPr="00567C55">
        <w:rPr>
          <w:i/>
          <w:lang w:val="en-US"/>
        </w:rPr>
        <w:t xml:space="preserve">Phys. Rev. </w:t>
      </w:r>
      <w:proofErr w:type="spellStart"/>
      <w:r w:rsidRPr="00567C55">
        <w:rPr>
          <w:i/>
          <w:lang w:val="en-US"/>
        </w:rPr>
        <w:t>Lett</w:t>
      </w:r>
      <w:proofErr w:type="spellEnd"/>
      <w:r w:rsidRPr="00567C55">
        <w:rPr>
          <w:i/>
          <w:lang w:val="en-US"/>
        </w:rPr>
        <w:t xml:space="preserve"> 91, 072301 (2003)</w:t>
      </w:r>
    </w:p>
    <w:p w:rsidR="001C3E07" w:rsidRPr="00567C55" w:rsidRDefault="001C3E07" w:rsidP="00770C87">
      <w:pPr>
        <w:pStyle w:val="Paragraphedeliste"/>
        <w:numPr>
          <w:ilvl w:val="0"/>
          <w:numId w:val="22"/>
        </w:numPr>
        <w:jc w:val="both"/>
        <w:rPr>
          <w:lang w:val="en-US"/>
        </w:rPr>
      </w:pPr>
      <w:r w:rsidRPr="00567C55">
        <w:rPr>
          <w:lang w:val="en-US"/>
        </w:rPr>
        <w:t xml:space="preserve">Suppression of Hadrons with Large Transverse Momentum in Central </w:t>
      </w:r>
      <w:proofErr w:type="spellStart"/>
      <w:r w:rsidRPr="00567C55">
        <w:rPr>
          <w:iCs/>
          <w:lang w:val="en-US"/>
        </w:rPr>
        <w:t>Au</w:t>
      </w:r>
      <w:r w:rsidRPr="00567C55">
        <w:rPr>
          <w:lang w:val="en-US"/>
        </w:rPr>
        <w:t>+</w:t>
      </w:r>
      <w:r w:rsidRPr="00567C55">
        <w:rPr>
          <w:iCs/>
          <w:lang w:val="en-US"/>
        </w:rPr>
        <w:t>Au</w:t>
      </w:r>
      <w:proofErr w:type="spellEnd"/>
      <w:r w:rsidRPr="00567C55">
        <w:rPr>
          <w:lang w:val="en-US"/>
        </w:rPr>
        <w:t xml:space="preserve"> Collisions at 130</w:t>
      </w:r>
      <w:r w:rsidRPr="00567C55">
        <w:rPr>
          <w:iCs/>
          <w:lang w:val="en-US"/>
        </w:rPr>
        <w:t xml:space="preserve">GeV. </w:t>
      </w:r>
      <w:r w:rsidRPr="00567C55">
        <w:rPr>
          <w:i/>
          <w:iCs/>
          <w:lang w:val="en-US"/>
        </w:rPr>
        <w:t xml:space="preserve">Phys. Rev. </w:t>
      </w:r>
      <w:proofErr w:type="spellStart"/>
      <w:r w:rsidRPr="00567C55">
        <w:rPr>
          <w:i/>
          <w:iCs/>
          <w:lang w:val="en-US"/>
        </w:rPr>
        <w:t>Lett</w:t>
      </w:r>
      <w:proofErr w:type="spellEnd"/>
      <w:r w:rsidRPr="00567C55">
        <w:rPr>
          <w:i/>
          <w:iCs/>
          <w:lang w:val="en-US"/>
        </w:rPr>
        <w:t>. 88, 022301 (2001)</w:t>
      </w:r>
    </w:p>
    <w:p w:rsidR="00F20365" w:rsidRDefault="00DE1710" w:rsidP="00DE1710">
      <w:pPr>
        <w:pStyle w:val="Titre1"/>
        <w:numPr>
          <w:ilvl w:val="0"/>
          <w:numId w:val="1"/>
        </w:numPr>
      </w:pPr>
      <w:proofErr w:type="spellStart"/>
      <w:r>
        <w:t>Eléments</w:t>
      </w:r>
      <w:proofErr w:type="spellEnd"/>
      <w:r>
        <w:t xml:space="preserve"> de visibilité</w:t>
      </w:r>
    </w:p>
    <w:p w:rsidR="00A415F0" w:rsidRDefault="00DE1710" w:rsidP="00DE1710">
      <w:pPr>
        <w:pStyle w:val="Titre3"/>
        <w:numPr>
          <w:ilvl w:val="1"/>
          <w:numId w:val="1"/>
        </w:numPr>
      </w:pPr>
      <w:r>
        <w:t>Bilan des thèses</w:t>
      </w:r>
    </w:p>
    <w:tbl>
      <w:tblPr>
        <w:tblStyle w:val="Grilledutableau"/>
        <w:tblW w:w="0" w:type="auto"/>
        <w:tblLook w:val="04A0"/>
      </w:tblPr>
      <w:tblGrid>
        <w:gridCol w:w="2518"/>
        <w:gridCol w:w="4536"/>
        <w:gridCol w:w="2158"/>
      </w:tblGrid>
      <w:tr w:rsidR="0095546F" w:rsidTr="00E22D3D">
        <w:tc>
          <w:tcPr>
            <w:tcW w:w="2518" w:type="dxa"/>
          </w:tcPr>
          <w:p w:rsidR="00E22D3D" w:rsidRDefault="0095546F" w:rsidP="0095546F">
            <w:proofErr w:type="spellStart"/>
            <w:r>
              <w:t>Etudiant</w:t>
            </w:r>
            <w:proofErr w:type="spellEnd"/>
            <w:r>
              <w:t xml:space="preserve"> </w:t>
            </w:r>
          </w:p>
          <w:p w:rsidR="0095546F" w:rsidRDefault="0095546F" w:rsidP="0095546F">
            <w:r>
              <w:t>(groupe)</w:t>
            </w:r>
          </w:p>
        </w:tc>
        <w:tc>
          <w:tcPr>
            <w:tcW w:w="4536" w:type="dxa"/>
          </w:tcPr>
          <w:p w:rsidR="0095546F" w:rsidRDefault="0095546F" w:rsidP="00567C55">
            <w:pPr>
              <w:jc w:val="center"/>
            </w:pPr>
            <w:r>
              <w:t>Titre</w:t>
            </w:r>
          </w:p>
        </w:tc>
        <w:tc>
          <w:tcPr>
            <w:tcW w:w="2158" w:type="dxa"/>
          </w:tcPr>
          <w:p w:rsidR="0095546F" w:rsidRDefault="0095546F" w:rsidP="0095546F">
            <w:r>
              <w:t>Date de soutenance</w:t>
            </w:r>
          </w:p>
        </w:tc>
      </w:tr>
      <w:tr w:rsidR="0095546F" w:rsidTr="00E22D3D">
        <w:tc>
          <w:tcPr>
            <w:tcW w:w="2518" w:type="dxa"/>
          </w:tcPr>
          <w:p w:rsidR="00E22D3D" w:rsidRDefault="0095546F" w:rsidP="0095546F">
            <w:r>
              <w:t xml:space="preserve">Yann </w:t>
            </w:r>
            <w:proofErr w:type="spellStart"/>
            <w:r>
              <w:t>Cobigo</w:t>
            </w:r>
            <w:proofErr w:type="spellEnd"/>
            <w:r>
              <w:t> </w:t>
            </w:r>
          </w:p>
          <w:p w:rsidR="0095546F" w:rsidRDefault="0095546F" w:rsidP="0095546F">
            <w:r>
              <w:t>(</w:t>
            </w:r>
            <w:proofErr w:type="spellStart"/>
            <w:r>
              <w:t>SPhN</w:t>
            </w:r>
            <w:proofErr w:type="spellEnd"/>
            <w:r>
              <w:t>)</w:t>
            </w:r>
          </w:p>
        </w:tc>
        <w:tc>
          <w:tcPr>
            <w:tcW w:w="4536" w:type="dxa"/>
          </w:tcPr>
          <w:p w:rsidR="0095546F" w:rsidRDefault="0095546F" w:rsidP="008013E8">
            <w:pPr>
              <w:jc w:val="both"/>
            </w:pPr>
            <w:r>
              <w:t>production de J/</w:t>
            </w:r>
            <w:r w:rsidR="008013E8" w:rsidRPr="008013E8">
              <w:rPr>
                <w:rFonts w:ascii="Symbol" w:hAnsi="Symbol"/>
              </w:rPr>
              <w:t></w:t>
            </w:r>
            <w:r>
              <w:t xml:space="preserve"> dans les collisions proton-proton et deuton-or à 200 </w:t>
            </w:r>
            <w:proofErr w:type="spellStart"/>
            <w:r>
              <w:t>GeV</w:t>
            </w:r>
            <w:proofErr w:type="spellEnd"/>
            <w:r>
              <w:t xml:space="preserve"> dans le centre de masse nucléon-nucléon</w:t>
            </w:r>
          </w:p>
        </w:tc>
        <w:tc>
          <w:tcPr>
            <w:tcW w:w="2158" w:type="dxa"/>
          </w:tcPr>
          <w:p w:rsidR="0095546F" w:rsidRDefault="0095546F" w:rsidP="0095546F">
            <w:r>
              <w:t>septembre 2004</w:t>
            </w:r>
          </w:p>
        </w:tc>
      </w:tr>
      <w:tr w:rsidR="0095546F" w:rsidTr="00E22D3D">
        <w:tc>
          <w:tcPr>
            <w:tcW w:w="2518" w:type="dxa"/>
          </w:tcPr>
          <w:p w:rsidR="00E22D3D" w:rsidRDefault="0095546F" w:rsidP="0095546F">
            <w:r>
              <w:t xml:space="preserve">Sébastien </w:t>
            </w:r>
            <w:proofErr w:type="spellStart"/>
            <w:r>
              <w:t>Gadrat</w:t>
            </w:r>
            <w:proofErr w:type="spellEnd"/>
            <w:r>
              <w:t xml:space="preserve"> </w:t>
            </w:r>
          </w:p>
          <w:p w:rsidR="0095546F" w:rsidRDefault="0095546F" w:rsidP="0095546F">
            <w:r>
              <w:t>(LPC)</w:t>
            </w:r>
          </w:p>
        </w:tc>
        <w:tc>
          <w:tcPr>
            <w:tcW w:w="4536" w:type="dxa"/>
          </w:tcPr>
          <w:p w:rsidR="0095546F" w:rsidRDefault="0095546F" w:rsidP="00E22D3D">
            <w:pPr>
              <w:jc w:val="both"/>
            </w:pPr>
            <w:proofErr w:type="spellStart"/>
            <w:r>
              <w:t>Etude</w:t>
            </w:r>
            <w:proofErr w:type="spellEnd"/>
            <w:r>
              <w:t xml:space="preserve"> de la production de charme ouvert et de </w:t>
            </w:r>
            <w:proofErr w:type="spellStart"/>
            <w:r>
              <w:t>Drell</w:t>
            </w:r>
            <w:proofErr w:type="spellEnd"/>
            <w:r>
              <w:t xml:space="preserve">-Yan dans les collisions p+p à 200 </w:t>
            </w:r>
            <w:proofErr w:type="spellStart"/>
            <w:r>
              <w:t>GeV</w:t>
            </w:r>
            <w:proofErr w:type="spellEnd"/>
            <w:r>
              <w:t xml:space="preserve"> avec le détecteur PHENIX à RHIC</w:t>
            </w:r>
          </w:p>
        </w:tc>
        <w:tc>
          <w:tcPr>
            <w:tcW w:w="2158" w:type="dxa"/>
          </w:tcPr>
          <w:p w:rsidR="0095546F" w:rsidRDefault="0095546F" w:rsidP="0095546F">
            <w:r>
              <w:t>septembre 2005</w:t>
            </w:r>
          </w:p>
        </w:tc>
      </w:tr>
      <w:tr w:rsidR="0095546F" w:rsidTr="00E22D3D">
        <w:tc>
          <w:tcPr>
            <w:tcW w:w="2518" w:type="dxa"/>
          </w:tcPr>
          <w:p w:rsidR="00E22D3D" w:rsidRDefault="0095546F" w:rsidP="0095546F">
            <w:r w:rsidRPr="00805CA8">
              <w:t>Vi-</w:t>
            </w:r>
            <w:proofErr w:type="spellStart"/>
            <w:r w:rsidRPr="00805CA8">
              <w:t>Nham</w:t>
            </w:r>
            <w:proofErr w:type="spellEnd"/>
            <w:r w:rsidRPr="00805CA8">
              <w:t xml:space="preserve"> Tram </w:t>
            </w:r>
          </w:p>
          <w:p w:rsidR="0095546F" w:rsidRDefault="0095546F" w:rsidP="0095546F">
            <w:r w:rsidRPr="00805CA8">
              <w:t>(LLR)</w:t>
            </w:r>
          </w:p>
        </w:tc>
        <w:tc>
          <w:tcPr>
            <w:tcW w:w="4536" w:type="dxa"/>
          </w:tcPr>
          <w:p w:rsidR="0095546F" w:rsidRDefault="0095546F" w:rsidP="008013E8">
            <w:pPr>
              <w:jc w:val="both"/>
            </w:pPr>
            <w:proofErr w:type="spellStart"/>
            <w:r w:rsidRPr="00805CA8">
              <w:t>Etude</w:t>
            </w:r>
            <w:proofErr w:type="spellEnd"/>
            <w:r w:rsidRPr="00805CA8">
              <w:t xml:space="preserve"> de</w:t>
            </w:r>
            <w:r>
              <w:t xml:space="preserve"> la production du J/</w:t>
            </w:r>
            <w:r w:rsidR="008013E8" w:rsidRPr="008013E8">
              <w:rPr>
                <w:rFonts w:ascii="Symbol" w:hAnsi="Symbol"/>
              </w:rPr>
              <w:t></w:t>
            </w:r>
            <w:r>
              <w:t xml:space="preserve"> dans les collisions or-or à 200 </w:t>
            </w:r>
            <w:proofErr w:type="spellStart"/>
            <w:r>
              <w:t>GeV</w:t>
            </w:r>
            <w:proofErr w:type="spellEnd"/>
            <w:r>
              <w:t xml:space="preserve"> par paires de nucléons dans l’expérience PHENIX</w:t>
            </w:r>
          </w:p>
        </w:tc>
        <w:tc>
          <w:tcPr>
            <w:tcW w:w="2158" w:type="dxa"/>
          </w:tcPr>
          <w:p w:rsidR="0095546F" w:rsidRDefault="0095546F" w:rsidP="0095546F">
            <w:r>
              <w:t>janvier 2006</w:t>
            </w:r>
          </w:p>
        </w:tc>
      </w:tr>
      <w:tr w:rsidR="0095546F" w:rsidTr="00E22D3D">
        <w:tc>
          <w:tcPr>
            <w:tcW w:w="2518" w:type="dxa"/>
          </w:tcPr>
          <w:p w:rsidR="0095546F" w:rsidRDefault="0095546F" w:rsidP="0095546F">
            <w:r w:rsidRPr="0095546F">
              <w:t>Ahmed Hadj Henni (SUBATECH)</w:t>
            </w:r>
          </w:p>
        </w:tc>
        <w:tc>
          <w:tcPr>
            <w:tcW w:w="4536" w:type="dxa"/>
          </w:tcPr>
          <w:p w:rsidR="0095546F" w:rsidRDefault="0095546F" w:rsidP="00E22D3D">
            <w:pPr>
              <w:jc w:val="both"/>
            </w:pPr>
            <w:r w:rsidRPr="0095546F">
              <w:t>isolation des photo</w:t>
            </w:r>
            <w:r>
              <w:t xml:space="preserve">ns de grande impulsion transverse dans les collisions proton+proton à 200 </w:t>
            </w:r>
            <w:proofErr w:type="spellStart"/>
            <w:r>
              <w:t>GeV</w:t>
            </w:r>
            <w:proofErr w:type="spellEnd"/>
            <w:r>
              <w:t xml:space="preserve"> dans l’expérience PHENIX au RHIC</w:t>
            </w:r>
          </w:p>
        </w:tc>
        <w:tc>
          <w:tcPr>
            <w:tcW w:w="2158" w:type="dxa"/>
          </w:tcPr>
          <w:p w:rsidR="0095546F" w:rsidRDefault="0095546F" w:rsidP="0095546F">
            <w:r>
              <w:t>février 2007</w:t>
            </w:r>
          </w:p>
        </w:tc>
      </w:tr>
      <w:tr w:rsidR="0095546F" w:rsidTr="00E22D3D">
        <w:tc>
          <w:tcPr>
            <w:tcW w:w="2518" w:type="dxa"/>
          </w:tcPr>
          <w:p w:rsidR="0095546F" w:rsidRDefault="0095546F" w:rsidP="0095546F">
            <w:proofErr w:type="spellStart"/>
            <w:r>
              <w:t>Andry</w:t>
            </w:r>
            <w:proofErr w:type="spellEnd"/>
            <w:r>
              <w:t xml:space="preserve"> </w:t>
            </w:r>
            <w:proofErr w:type="spellStart"/>
            <w:r>
              <w:t>Rakotozafindrabe</w:t>
            </w:r>
            <w:proofErr w:type="spellEnd"/>
            <w:r>
              <w:t xml:space="preserve"> (LLR)</w:t>
            </w:r>
          </w:p>
        </w:tc>
        <w:tc>
          <w:tcPr>
            <w:tcW w:w="4536" w:type="dxa"/>
          </w:tcPr>
          <w:p w:rsidR="0095546F" w:rsidRDefault="0095546F" w:rsidP="00E22D3D">
            <w:pPr>
              <w:jc w:val="both"/>
            </w:pPr>
            <w:proofErr w:type="spellStart"/>
            <w:r>
              <w:t>Etude</w:t>
            </w:r>
            <w:proofErr w:type="spellEnd"/>
            <w:r>
              <w:t xml:space="preserve"> de la production du J/</w:t>
            </w:r>
            <w:r w:rsidRPr="008013E8">
              <w:rPr>
                <w:rFonts w:ascii="Symbol" w:hAnsi="Symbol"/>
              </w:rPr>
              <w:t></w:t>
            </w:r>
            <w:r>
              <w:sym w:font="Wingdings" w:char="F0E0"/>
            </w:r>
            <w:r w:rsidRPr="008013E8">
              <w:rPr>
                <w:rFonts w:ascii="Symbol" w:hAnsi="Symbol"/>
              </w:rPr>
              <w:t></w:t>
            </w:r>
            <w:r w:rsidRPr="008013E8">
              <w:rPr>
                <w:vertAlign w:val="superscript"/>
              </w:rPr>
              <w:t>+</w:t>
            </w:r>
            <w:r w:rsidRPr="008013E8">
              <w:rPr>
                <w:rFonts w:ascii="Symbol" w:hAnsi="Symbol"/>
              </w:rPr>
              <w:t></w:t>
            </w:r>
            <w:r w:rsidRPr="008013E8">
              <w:rPr>
                <w:vertAlign w:val="superscript"/>
              </w:rPr>
              <w:t>-</w:t>
            </w:r>
            <w:r w:rsidR="0032495C">
              <w:t xml:space="preserve"> dans les collisions Cu+</w:t>
            </w:r>
            <w:r>
              <w:t xml:space="preserve">Cu à 200 </w:t>
            </w:r>
            <w:proofErr w:type="spellStart"/>
            <w:r>
              <w:t>GeV</w:t>
            </w:r>
            <w:proofErr w:type="spellEnd"/>
            <w:r>
              <w:t xml:space="preserve"> par paires de nucléons dans l’expérience PHENIX</w:t>
            </w:r>
          </w:p>
        </w:tc>
        <w:tc>
          <w:tcPr>
            <w:tcW w:w="2158" w:type="dxa"/>
          </w:tcPr>
          <w:p w:rsidR="0095546F" w:rsidRDefault="0095546F" w:rsidP="0095546F">
            <w:r>
              <w:t>mai 2007</w:t>
            </w:r>
          </w:p>
        </w:tc>
      </w:tr>
      <w:tr w:rsidR="0095546F" w:rsidTr="00E22D3D">
        <w:tc>
          <w:tcPr>
            <w:tcW w:w="2518" w:type="dxa"/>
          </w:tcPr>
          <w:p w:rsidR="0095546F" w:rsidRDefault="0095546F" w:rsidP="0095546F">
            <w:r w:rsidRPr="00805CA8">
              <w:t>Catherine Silvestre (</w:t>
            </w:r>
            <w:proofErr w:type="spellStart"/>
            <w:r w:rsidRPr="00805CA8">
              <w:t>SPhN</w:t>
            </w:r>
            <w:proofErr w:type="spellEnd"/>
            <w:r w:rsidRPr="00805CA8">
              <w:t>/LLR)</w:t>
            </w:r>
          </w:p>
        </w:tc>
        <w:tc>
          <w:tcPr>
            <w:tcW w:w="4536" w:type="dxa"/>
          </w:tcPr>
          <w:p w:rsidR="0095546F" w:rsidRDefault="0095546F" w:rsidP="008013E8">
            <w:pPr>
              <w:jc w:val="both"/>
            </w:pPr>
            <w:r w:rsidRPr="00805CA8">
              <w:t>première mes</w:t>
            </w:r>
            <w:r>
              <w:t>ure de l’asymétrie azimutale de la production du J/</w:t>
            </w:r>
            <w:r w:rsidR="008013E8" w:rsidRPr="008013E8">
              <w:rPr>
                <w:rFonts w:ascii="Symbol" w:hAnsi="Symbol"/>
              </w:rPr>
              <w:t></w:t>
            </w:r>
            <w:r>
              <w:t xml:space="preserve"> vers l’avant dans les collisions Au+Au à 200 </w:t>
            </w:r>
            <w:proofErr w:type="spellStart"/>
            <w:r>
              <w:t>GeV</w:t>
            </w:r>
            <w:proofErr w:type="spellEnd"/>
            <w:r>
              <w:t xml:space="preserve"> par paires de nucléons avec l’expérience PHENIX</w:t>
            </w:r>
          </w:p>
        </w:tc>
        <w:tc>
          <w:tcPr>
            <w:tcW w:w="2158" w:type="dxa"/>
          </w:tcPr>
          <w:p w:rsidR="0095546F" w:rsidRDefault="0095546F" w:rsidP="0095546F">
            <w:r>
              <w:t>octobre 2008</w:t>
            </w:r>
          </w:p>
        </w:tc>
      </w:tr>
      <w:tr w:rsidR="0095546F" w:rsidRPr="0095546F" w:rsidTr="00E22D3D">
        <w:tc>
          <w:tcPr>
            <w:tcW w:w="2518" w:type="dxa"/>
          </w:tcPr>
          <w:p w:rsidR="00E22D3D" w:rsidRDefault="0095546F" w:rsidP="0095546F">
            <w:pPr>
              <w:rPr>
                <w:lang w:val="en-US"/>
              </w:rPr>
            </w:pPr>
            <w:proofErr w:type="spellStart"/>
            <w:r w:rsidRPr="00805CA8">
              <w:rPr>
                <w:lang w:val="en-US"/>
              </w:rPr>
              <w:t>Ermias</w:t>
            </w:r>
            <w:proofErr w:type="spellEnd"/>
            <w:r w:rsidRPr="00805CA8">
              <w:rPr>
                <w:lang w:val="en-US"/>
              </w:rPr>
              <w:t xml:space="preserve"> </w:t>
            </w:r>
            <w:proofErr w:type="spellStart"/>
            <w:r w:rsidRPr="00805CA8">
              <w:rPr>
                <w:lang w:val="en-US"/>
              </w:rPr>
              <w:t>Atomssa</w:t>
            </w:r>
            <w:proofErr w:type="spellEnd"/>
            <w:r w:rsidRPr="00805CA8">
              <w:rPr>
                <w:lang w:val="en-US"/>
              </w:rPr>
              <w:t xml:space="preserve"> </w:t>
            </w:r>
          </w:p>
          <w:p w:rsidR="0095546F" w:rsidRDefault="0095546F" w:rsidP="0095546F">
            <w:r w:rsidRPr="00805CA8">
              <w:rPr>
                <w:lang w:val="en-US"/>
              </w:rPr>
              <w:t>(LLR)</w:t>
            </w:r>
          </w:p>
        </w:tc>
        <w:tc>
          <w:tcPr>
            <w:tcW w:w="4536" w:type="dxa"/>
          </w:tcPr>
          <w:p w:rsidR="0095546F" w:rsidRPr="0095546F" w:rsidRDefault="0095546F" w:rsidP="008013E8">
            <w:pPr>
              <w:jc w:val="both"/>
              <w:rPr>
                <w:lang w:val="en-US"/>
              </w:rPr>
            </w:pPr>
            <w:r w:rsidRPr="00805CA8">
              <w:rPr>
                <w:lang w:val="en-US"/>
              </w:rPr>
              <w:t>J/</w:t>
            </w:r>
            <w:r w:rsidR="008013E8" w:rsidRPr="008013E8">
              <w:rPr>
                <w:rFonts w:ascii="Symbol" w:hAnsi="Symbol"/>
                <w:lang w:val="en-US"/>
              </w:rPr>
              <w:t></w:t>
            </w:r>
            <w:r w:rsidRPr="00805CA8">
              <w:rPr>
                <w:lang w:val="en-US"/>
              </w:rPr>
              <w:t xml:space="preserve"> suppression and elliptic flow i</w:t>
            </w:r>
            <w:r>
              <w:rPr>
                <w:lang w:val="en-US"/>
              </w:rPr>
              <w:t xml:space="preserve">n 200 </w:t>
            </w:r>
            <w:proofErr w:type="spellStart"/>
            <w:r>
              <w:rPr>
                <w:lang w:val="en-US"/>
              </w:rPr>
              <w:t>GeV</w:t>
            </w:r>
            <w:proofErr w:type="spellEnd"/>
            <w:r>
              <w:rPr>
                <w:lang w:val="en-US"/>
              </w:rPr>
              <w:t xml:space="preserve"> </w:t>
            </w:r>
            <w:proofErr w:type="spellStart"/>
            <w:r>
              <w:rPr>
                <w:lang w:val="en-US"/>
              </w:rPr>
              <w:t>Au+Au</w:t>
            </w:r>
            <w:proofErr w:type="spellEnd"/>
            <w:r>
              <w:rPr>
                <w:lang w:val="en-US"/>
              </w:rPr>
              <w:t xml:space="preserve"> collisions at the mid rapidity region of the PHENIX experiment</w:t>
            </w:r>
          </w:p>
        </w:tc>
        <w:tc>
          <w:tcPr>
            <w:tcW w:w="2158" w:type="dxa"/>
          </w:tcPr>
          <w:p w:rsidR="0095546F" w:rsidRPr="0095546F" w:rsidRDefault="0095546F" w:rsidP="0095546F">
            <w:pPr>
              <w:rPr>
                <w:lang w:val="en-US"/>
              </w:rPr>
            </w:pPr>
            <w:proofErr w:type="spellStart"/>
            <w:r>
              <w:rPr>
                <w:lang w:val="en-US"/>
              </w:rPr>
              <w:t>décembre</w:t>
            </w:r>
            <w:proofErr w:type="spellEnd"/>
            <w:r>
              <w:rPr>
                <w:lang w:val="en-US"/>
              </w:rPr>
              <w:t xml:space="preserve"> 2008</w:t>
            </w:r>
          </w:p>
        </w:tc>
      </w:tr>
    </w:tbl>
    <w:p w:rsidR="0095546F" w:rsidRDefault="0095546F" w:rsidP="0095546F">
      <w:pPr>
        <w:rPr>
          <w:lang w:val="en-US"/>
        </w:rPr>
      </w:pPr>
    </w:p>
    <w:p w:rsidR="00567C55" w:rsidRPr="0095546F" w:rsidRDefault="00567C55" w:rsidP="0095546F">
      <w:pPr>
        <w:rPr>
          <w:lang w:val="en-US"/>
        </w:rPr>
      </w:pPr>
    </w:p>
    <w:p w:rsidR="00A415F0" w:rsidRDefault="00A415F0" w:rsidP="00DE1710">
      <w:pPr>
        <w:pStyle w:val="Titre3"/>
        <w:numPr>
          <w:ilvl w:val="1"/>
          <w:numId w:val="1"/>
        </w:numPr>
      </w:pPr>
      <w:r>
        <w:lastRenderedPageBreak/>
        <w:t>Responsabilités</w:t>
      </w:r>
      <w:r w:rsidR="00DE1710">
        <w:t xml:space="preserve"> prises par la communauté PHENIX-France</w:t>
      </w:r>
    </w:p>
    <w:p w:rsidR="00196C8E" w:rsidRDefault="00196C8E" w:rsidP="00121CB6">
      <w:pPr>
        <w:pStyle w:val="Paragraphedeliste"/>
        <w:numPr>
          <w:ilvl w:val="0"/>
          <w:numId w:val="3"/>
        </w:numPr>
      </w:pPr>
      <w:r>
        <w:t xml:space="preserve">1 </w:t>
      </w:r>
      <w:proofErr w:type="spellStart"/>
      <w:r>
        <w:t>co</w:t>
      </w:r>
      <w:proofErr w:type="spellEnd"/>
      <w:r>
        <w:t>-</w:t>
      </w:r>
      <w:proofErr w:type="spellStart"/>
      <w:r>
        <w:t>conveener</w:t>
      </w:r>
      <w:proofErr w:type="spellEnd"/>
      <w:r>
        <w:t xml:space="preserve"> saveur lourdes</w:t>
      </w:r>
      <w:r w:rsidR="00082E77">
        <w:t xml:space="preserve"> (2007 – 2009)</w:t>
      </w:r>
    </w:p>
    <w:p w:rsidR="00196C8E" w:rsidRDefault="00196C8E" w:rsidP="00196C8E">
      <w:pPr>
        <w:pStyle w:val="Paragraphedeliste"/>
        <w:numPr>
          <w:ilvl w:val="0"/>
          <w:numId w:val="3"/>
        </w:numPr>
      </w:pPr>
      <w:r>
        <w:t xml:space="preserve">2 membres au </w:t>
      </w:r>
      <w:proofErr w:type="spellStart"/>
      <w:r>
        <w:t>Phenix</w:t>
      </w:r>
      <w:proofErr w:type="spellEnd"/>
      <w:r>
        <w:t xml:space="preserve"> Speakers Bureau</w:t>
      </w:r>
      <w:r w:rsidR="003126A8">
        <w:t xml:space="preserve"> (depuis 2007</w:t>
      </w:r>
      <w:r w:rsidR="00567C55">
        <w:t xml:space="preserve"> + </w:t>
      </w:r>
      <w:r w:rsidR="00627530">
        <w:t>2009</w:t>
      </w:r>
      <w:r w:rsidR="003126A8">
        <w:t>)</w:t>
      </w:r>
    </w:p>
    <w:p w:rsidR="00C211F2" w:rsidRDefault="008402F8" w:rsidP="00406D66">
      <w:pPr>
        <w:pStyle w:val="Paragraphedeliste"/>
        <w:numPr>
          <w:ilvl w:val="0"/>
          <w:numId w:val="3"/>
        </w:numPr>
      </w:pPr>
      <w:r>
        <w:t>2 membres à l’</w:t>
      </w:r>
      <w:proofErr w:type="spellStart"/>
      <w:r>
        <w:t>Executive</w:t>
      </w:r>
      <w:proofErr w:type="spellEnd"/>
      <w:r>
        <w:t xml:space="preserve"> Council (2003 – 2007 + depuis 2007)</w:t>
      </w:r>
    </w:p>
    <w:p w:rsidR="00C211F2" w:rsidRPr="0095546F" w:rsidRDefault="00C211F2" w:rsidP="00196C8E">
      <w:pPr>
        <w:pStyle w:val="Paragraphedeliste"/>
        <w:numPr>
          <w:ilvl w:val="0"/>
          <w:numId w:val="3"/>
        </w:numPr>
      </w:pPr>
      <w:r>
        <w:t>1 coordinateur du spectromètre à muons</w:t>
      </w:r>
      <w:r w:rsidR="00D936A1">
        <w:t xml:space="preserve"> </w:t>
      </w:r>
      <w:r w:rsidR="00406D66">
        <w:t xml:space="preserve">et membre du Detector Council </w:t>
      </w:r>
      <w:r w:rsidR="00D936A1">
        <w:t>(</w:t>
      </w:r>
      <w:r w:rsidR="00D6371F">
        <w:t>2003 – 2007</w:t>
      </w:r>
      <w:r w:rsidR="00D936A1">
        <w:t>)</w:t>
      </w:r>
    </w:p>
    <w:p w:rsidR="0095546F" w:rsidRDefault="0095546F" w:rsidP="00196C8E">
      <w:pPr>
        <w:pStyle w:val="Paragraphedeliste"/>
        <w:numPr>
          <w:ilvl w:val="0"/>
          <w:numId w:val="3"/>
        </w:numPr>
        <w:rPr>
          <w:color w:val="000000" w:themeColor="text1"/>
        </w:rPr>
      </w:pPr>
      <w:r w:rsidRPr="0095546F">
        <w:rPr>
          <w:color w:val="000000" w:themeColor="text1"/>
        </w:rPr>
        <w:t>1 responsable du code de reconstruction des données muons (</w:t>
      </w:r>
      <w:proofErr w:type="spellStart"/>
      <w:r w:rsidRPr="0095546F">
        <w:rPr>
          <w:color w:val="000000" w:themeColor="text1"/>
        </w:rPr>
        <w:t>SPhN</w:t>
      </w:r>
      <w:proofErr w:type="spellEnd"/>
      <w:r w:rsidRPr="0095546F">
        <w:rPr>
          <w:color w:val="000000" w:themeColor="text1"/>
        </w:rPr>
        <w:t>, depuis 2003)</w:t>
      </w:r>
    </w:p>
    <w:p w:rsidR="0095546F" w:rsidRDefault="0095546F" w:rsidP="00196C8E">
      <w:pPr>
        <w:pStyle w:val="Paragraphedeliste"/>
        <w:numPr>
          <w:ilvl w:val="0"/>
          <w:numId w:val="3"/>
        </w:numPr>
        <w:rPr>
          <w:color w:val="000000" w:themeColor="text1"/>
        </w:rPr>
      </w:pPr>
      <w:r>
        <w:rPr>
          <w:color w:val="000000" w:themeColor="text1"/>
        </w:rPr>
        <w:t>1 coordinateur du programme de simulation de l’expérience (</w:t>
      </w:r>
      <w:proofErr w:type="spellStart"/>
      <w:r>
        <w:rPr>
          <w:color w:val="000000" w:themeColor="text1"/>
        </w:rPr>
        <w:t>SPhN</w:t>
      </w:r>
      <w:proofErr w:type="spellEnd"/>
      <w:r>
        <w:rPr>
          <w:color w:val="000000" w:themeColor="text1"/>
        </w:rPr>
        <w:t>,</w:t>
      </w:r>
      <w:r w:rsidR="008402F8">
        <w:rPr>
          <w:color w:val="000000" w:themeColor="text1"/>
        </w:rPr>
        <w:t xml:space="preserve"> depuis 2006</w:t>
      </w:r>
      <w:r>
        <w:rPr>
          <w:color w:val="000000" w:themeColor="text1"/>
        </w:rPr>
        <w:t>)</w:t>
      </w:r>
    </w:p>
    <w:p w:rsidR="00E50D72" w:rsidRDefault="00DE1710" w:rsidP="00DE1710">
      <w:pPr>
        <w:pStyle w:val="Titre3"/>
        <w:numPr>
          <w:ilvl w:val="1"/>
          <w:numId w:val="1"/>
        </w:numPr>
      </w:pPr>
      <w:r>
        <w:t>Bilan des p</w:t>
      </w:r>
      <w:r w:rsidR="00AE751E">
        <w:t>ublications</w:t>
      </w:r>
    </w:p>
    <w:p w:rsidR="00D43831" w:rsidRDefault="002717D5" w:rsidP="00D43831">
      <w:pPr>
        <w:jc w:val="both"/>
      </w:pPr>
      <w:r>
        <w:t>(</w:t>
      </w:r>
      <w:proofErr w:type="gramStart"/>
      <w:r>
        <w:t>voir</w:t>
      </w:r>
      <w:proofErr w:type="gramEnd"/>
      <w:r>
        <w:t xml:space="preserve"> </w:t>
      </w:r>
      <w:hyperlink r:id="rId16" w:history="1">
        <w:r w:rsidRPr="00E260A4">
          <w:rPr>
            <w:rStyle w:val="Lienhypertexte"/>
          </w:rPr>
          <w:t>http://www.phenix.bnl.gov/WWW/talk/pub_papers.php</w:t>
        </w:r>
      </w:hyperlink>
      <w:r>
        <w:t xml:space="preserve">) </w:t>
      </w:r>
      <w:r w:rsidR="00D43831">
        <w:t>La collaboration PHENIX a publié à ce jour 88 articles ; 88 ont été signés par SUBATECH, 76 par l’ensemble de la collaboration PHENIX-</w:t>
      </w:r>
      <w:r>
        <w:t>France.</w:t>
      </w:r>
    </w:p>
    <w:p w:rsidR="00D43831" w:rsidRPr="00AE751E" w:rsidRDefault="00D43831" w:rsidP="00D43831">
      <w:pPr>
        <w:jc w:val="both"/>
      </w:pPr>
      <w:r>
        <w:t>Le processus de publication est effectué en deux étapes : un « </w:t>
      </w:r>
      <w:proofErr w:type="spellStart"/>
      <w:r>
        <w:t>Paper</w:t>
      </w:r>
      <w:proofErr w:type="spellEnd"/>
      <w:r>
        <w:t xml:space="preserve"> </w:t>
      </w:r>
      <w:proofErr w:type="spellStart"/>
      <w:r>
        <w:t>Preparation</w:t>
      </w:r>
      <w:proofErr w:type="spellEnd"/>
      <w:r>
        <w:t xml:space="preserve"> Group » (PPG) prépare l’a</w:t>
      </w:r>
      <w:r w:rsidR="00567C55">
        <w:t>rticle à soumettre qui est revu</w:t>
      </w:r>
      <w:r>
        <w:t xml:space="preserve"> par la collaboration puis pris en charge par un « </w:t>
      </w:r>
      <w:proofErr w:type="spellStart"/>
      <w:r>
        <w:t>Internal</w:t>
      </w:r>
      <w:proofErr w:type="spellEnd"/>
      <w:r>
        <w:t xml:space="preserve"> </w:t>
      </w:r>
      <w:proofErr w:type="spellStart"/>
      <w:r>
        <w:t>Review</w:t>
      </w:r>
      <w:proofErr w:type="spellEnd"/>
      <w:r>
        <w:t xml:space="preserve"> </w:t>
      </w:r>
      <w:proofErr w:type="spellStart"/>
      <w:r>
        <w:t>Commitee</w:t>
      </w:r>
      <w:proofErr w:type="spellEnd"/>
      <w:r>
        <w:t> » (IRC) composé de trois personnes avant d’être soumis à publication. La communauté française a participé à 12 PPG et 19 IRC.</w:t>
      </w:r>
    </w:p>
    <w:p w:rsidR="00D43831" w:rsidRPr="00D43831" w:rsidRDefault="00D43831" w:rsidP="00D43831"/>
    <w:p w:rsidR="00D43831" w:rsidRPr="00D43831" w:rsidRDefault="003041B5" w:rsidP="00DE1710">
      <w:pPr>
        <w:pStyle w:val="Titre3"/>
        <w:numPr>
          <w:ilvl w:val="1"/>
          <w:numId w:val="1"/>
        </w:numPr>
      </w:pPr>
      <w:r>
        <w:t>Contri</w:t>
      </w:r>
      <w:r w:rsidR="00D43831">
        <w:t>b</w:t>
      </w:r>
      <w:r>
        <w:t>u</w:t>
      </w:r>
      <w:r w:rsidR="00D43831">
        <w:t>tions à conférence</w:t>
      </w:r>
    </w:p>
    <w:p w:rsidR="00F20365" w:rsidRDefault="00D0119A" w:rsidP="000047E2">
      <w:pPr>
        <w:jc w:val="both"/>
      </w:pPr>
      <w:r>
        <w:t xml:space="preserve">À </w:t>
      </w:r>
      <w:r w:rsidR="003041B5">
        <w:t xml:space="preserve">ce jour, on peut recenser une quarantaine de contributions à conférence de la communauté </w:t>
      </w:r>
      <w:r w:rsidR="007B4A5C">
        <w:t>française de PHENIX</w:t>
      </w:r>
      <w:r w:rsidR="000047E2">
        <w:t xml:space="preserve"> (d’après </w:t>
      </w:r>
      <w:hyperlink r:id="rId17" w:history="1">
        <w:r w:rsidR="000047E2" w:rsidRPr="00E260A4">
          <w:rPr>
            <w:rStyle w:val="Lienhypertexte"/>
          </w:rPr>
          <w:t>http://www.phenix.bnl.gov/WWW/p/talk/newtalk.php</w:t>
        </w:r>
      </w:hyperlink>
      <w:r w:rsidR="000047E2">
        <w:t>)</w:t>
      </w:r>
      <w:r w:rsidR="007B4A5C">
        <w:t>.</w:t>
      </w:r>
      <w:r w:rsidR="000047E2">
        <w:t xml:space="preserve"> Une liste non exhaustive des conférences auxquelles nous avons contribuées est donnée ci-dessous :</w:t>
      </w:r>
    </w:p>
    <w:p w:rsidR="007B4A5C" w:rsidRDefault="000B4253" w:rsidP="007B4A5C">
      <w:pPr>
        <w:pStyle w:val="Paragraphedeliste"/>
        <w:numPr>
          <w:ilvl w:val="0"/>
          <w:numId w:val="10"/>
        </w:numPr>
        <w:rPr>
          <w:lang w:val="en-US"/>
        </w:rPr>
      </w:pPr>
      <w:hyperlink r:id="rId18" w:history="1">
        <w:r w:rsidR="007B4A5C" w:rsidRPr="007B4A5C">
          <w:rPr>
            <w:rStyle w:val="Lienhypertexte"/>
            <w:lang w:val="en-US"/>
          </w:rPr>
          <w:t>Institute for Nuclear Theory Workshops</w:t>
        </w:r>
      </w:hyperlink>
      <w:r w:rsidR="007B4A5C" w:rsidRPr="007B4A5C">
        <w:rPr>
          <w:lang w:val="en-US"/>
        </w:rPr>
        <w:t>, U. of Wash, Seattle,   May 24-July 16, 2010</w:t>
      </w:r>
    </w:p>
    <w:p w:rsidR="007B4A5C" w:rsidRDefault="000B4253" w:rsidP="007B4A5C">
      <w:pPr>
        <w:pStyle w:val="Paragraphedeliste"/>
        <w:numPr>
          <w:ilvl w:val="0"/>
          <w:numId w:val="10"/>
        </w:numPr>
      </w:pPr>
      <w:hyperlink r:id="rId19" w:history="1">
        <w:r w:rsidR="007B4A5C">
          <w:rPr>
            <w:rStyle w:val="Lienhypertexte"/>
          </w:rPr>
          <w:t xml:space="preserve">Rencontres de </w:t>
        </w:r>
        <w:proofErr w:type="spellStart"/>
        <w:r w:rsidR="007B4A5C">
          <w:rPr>
            <w:rStyle w:val="Lienhypertexte"/>
          </w:rPr>
          <w:t>Moriond</w:t>
        </w:r>
        <w:proofErr w:type="spellEnd"/>
      </w:hyperlink>
      <w:r w:rsidR="007B4A5C">
        <w:t xml:space="preserve">, La </w:t>
      </w:r>
      <w:proofErr w:type="spellStart"/>
      <w:r w:rsidR="007B4A5C">
        <w:t>Thuile</w:t>
      </w:r>
      <w:proofErr w:type="spellEnd"/>
      <w:r w:rsidR="007B4A5C">
        <w:t xml:space="preserve">, </w:t>
      </w:r>
      <w:proofErr w:type="spellStart"/>
      <w:r w:rsidR="007B4A5C">
        <w:t>Aosta</w:t>
      </w:r>
      <w:proofErr w:type="spellEnd"/>
      <w:r w:rsidR="007B4A5C">
        <w:t xml:space="preserve"> </w:t>
      </w:r>
      <w:proofErr w:type="spellStart"/>
      <w:r w:rsidR="007B4A5C">
        <w:t>Valley</w:t>
      </w:r>
      <w:proofErr w:type="spellEnd"/>
      <w:r w:rsidR="007B4A5C">
        <w:t xml:space="preserve">, </w:t>
      </w:r>
      <w:proofErr w:type="spellStart"/>
      <w:r w:rsidR="007B4A5C">
        <w:t>Italy</w:t>
      </w:r>
      <w:proofErr w:type="spellEnd"/>
      <w:r w:rsidR="007B4A5C">
        <w:t>,   March 13-20, 2010</w:t>
      </w:r>
    </w:p>
    <w:p w:rsidR="007B4A5C" w:rsidRDefault="000B4253" w:rsidP="007B4A5C">
      <w:pPr>
        <w:pStyle w:val="Paragraphedeliste"/>
        <w:numPr>
          <w:ilvl w:val="0"/>
          <w:numId w:val="10"/>
        </w:numPr>
        <w:rPr>
          <w:lang w:val="en-US"/>
        </w:rPr>
      </w:pPr>
      <w:hyperlink r:id="rId20" w:history="1">
        <w:r w:rsidR="007B4A5C" w:rsidRPr="007B4A5C">
          <w:rPr>
            <w:rStyle w:val="Lienhypertexte"/>
            <w:lang w:val="en-US"/>
          </w:rPr>
          <w:t>Elastic and Diffractive Scattering ("Blois Workshop")</w:t>
        </w:r>
      </w:hyperlink>
      <w:r w:rsidR="007B4A5C" w:rsidRPr="007B4A5C">
        <w:rPr>
          <w:lang w:val="en-US"/>
        </w:rPr>
        <w:t>, CERN, Geneva,   June 29-July 3, 2009</w:t>
      </w:r>
    </w:p>
    <w:p w:rsidR="007B4A5C" w:rsidRDefault="007B4A5C" w:rsidP="007B4A5C">
      <w:pPr>
        <w:pStyle w:val="Paragraphedeliste"/>
        <w:numPr>
          <w:ilvl w:val="0"/>
          <w:numId w:val="10"/>
        </w:numPr>
        <w:rPr>
          <w:lang w:val="en-US"/>
        </w:rPr>
      </w:pPr>
      <w:r w:rsidRPr="007B4A5C">
        <w:rPr>
          <w:lang w:val="en-US"/>
        </w:rPr>
        <w:t xml:space="preserve">APS Topical Group on </w:t>
      </w:r>
      <w:proofErr w:type="spellStart"/>
      <w:r w:rsidRPr="007B4A5C">
        <w:rPr>
          <w:lang w:val="en-US"/>
        </w:rPr>
        <w:t>Hadronic</w:t>
      </w:r>
      <w:proofErr w:type="spellEnd"/>
      <w:r w:rsidRPr="007B4A5C">
        <w:rPr>
          <w:lang w:val="en-US"/>
        </w:rPr>
        <w:t xml:space="preserve"> Physics Meeting, Denver, Colorado,   May 2-5, 2009</w:t>
      </w:r>
    </w:p>
    <w:p w:rsidR="007B4A5C" w:rsidRDefault="000B4253" w:rsidP="007B4A5C">
      <w:pPr>
        <w:pStyle w:val="Paragraphedeliste"/>
        <w:numPr>
          <w:ilvl w:val="0"/>
          <w:numId w:val="10"/>
        </w:numPr>
        <w:rPr>
          <w:lang w:val="en-US"/>
        </w:rPr>
      </w:pPr>
      <w:hyperlink r:id="rId21" w:history="1">
        <w:r w:rsidR="007B4A5C" w:rsidRPr="007B4A5C">
          <w:rPr>
            <w:rStyle w:val="Lienhypertexte"/>
            <w:lang w:val="en-US"/>
          </w:rPr>
          <w:t>Deep Inelastic Scattering</w:t>
        </w:r>
      </w:hyperlink>
      <w:r w:rsidR="007B4A5C" w:rsidRPr="007B4A5C">
        <w:rPr>
          <w:lang w:val="en-US"/>
        </w:rPr>
        <w:t>, Madrid, Spain,   April 26-30, 2009</w:t>
      </w:r>
    </w:p>
    <w:p w:rsidR="007B4A5C" w:rsidRPr="007B4A5C" w:rsidRDefault="000B4253" w:rsidP="007B4A5C">
      <w:pPr>
        <w:pStyle w:val="Paragraphedeliste"/>
        <w:numPr>
          <w:ilvl w:val="0"/>
          <w:numId w:val="10"/>
        </w:numPr>
        <w:rPr>
          <w:lang w:val="en-US"/>
        </w:rPr>
      </w:pPr>
      <w:hyperlink r:id="rId22" w:history="1">
        <w:r w:rsidR="007B4A5C" w:rsidRPr="002079AD">
          <w:rPr>
            <w:rStyle w:val="Lienhypertexte"/>
            <w:lang w:val="en-US"/>
          </w:rPr>
          <w:t>Quark Matter</w:t>
        </w:r>
        <w:r w:rsidR="002079AD" w:rsidRPr="002079AD">
          <w:rPr>
            <w:rStyle w:val="Lienhypertexte"/>
            <w:lang w:val="en-US"/>
          </w:rPr>
          <w:t>09</w:t>
        </w:r>
      </w:hyperlink>
      <w:r w:rsidR="007B4A5C" w:rsidRPr="002079AD">
        <w:rPr>
          <w:lang w:val="en-US"/>
        </w:rPr>
        <w:t>, Knoxville, Tennessee,   March 29-April 4, 2009</w:t>
      </w:r>
    </w:p>
    <w:p w:rsidR="007B4A5C" w:rsidRDefault="000B4253" w:rsidP="007B4A5C">
      <w:pPr>
        <w:pStyle w:val="Paragraphedeliste"/>
        <w:numPr>
          <w:ilvl w:val="0"/>
          <w:numId w:val="10"/>
        </w:numPr>
      </w:pPr>
      <w:hyperlink r:id="rId23" w:history="1">
        <w:r w:rsidR="007B4A5C">
          <w:rPr>
            <w:rStyle w:val="Lienhypertexte"/>
          </w:rPr>
          <w:t xml:space="preserve">Rencontres de </w:t>
        </w:r>
        <w:proofErr w:type="spellStart"/>
        <w:r w:rsidR="007B4A5C">
          <w:rPr>
            <w:rStyle w:val="Lienhypertexte"/>
          </w:rPr>
          <w:t>Moriond</w:t>
        </w:r>
        <w:proofErr w:type="spellEnd"/>
      </w:hyperlink>
      <w:r w:rsidR="007B4A5C">
        <w:t xml:space="preserve">, La </w:t>
      </w:r>
      <w:proofErr w:type="spellStart"/>
      <w:r w:rsidR="007B4A5C">
        <w:t>Thuile</w:t>
      </w:r>
      <w:proofErr w:type="spellEnd"/>
      <w:r w:rsidR="007B4A5C">
        <w:t xml:space="preserve">, </w:t>
      </w:r>
      <w:proofErr w:type="spellStart"/>
      <w:r w:rsidR="007B4A5C">
        <w:t>Italy</w:t>
      </w:r>
      <w:proofErr w:type="spellEnd"/>
      <w:r w:rsidR="007B4A5C">
        <w:t>,   March 7-14, 2009</w:t>
      </w:r>
    </w:p>
    <w:p w:rsidR="007B4A5C" w:rsidRDefault="000B4253" w:rsidP="007B4A5C">
      <w:pPr>
        <w:pStyle w:val="Paragraphedeliste"/>
        <w:numPr>
          <w:ilvl w:val="0"/>
          <w:numId w:val="10"/>
        </w:numPr>
      </w:pPr>
      <w:hyperlink r:id="rId24" w:history="1">
        <w:proofErr w:type="spellStart"/>
        <w:r w:rsidR="007B4A5C">
          <w:rPr>
            <w:rStyle w:val="Lienhypertexte"/>
          </w:rPr>
          <w:t>Particles</w:t>
        </w:r>
        <w:proofErr w:type="spellEnd"/>
        <w:r w:rsidR="007B4A5C">
          <w:rPr>
            <w:rStyle w:val="Lienhypertexte"/>
          </w:rPr>
          <w:t xml:space="preserve"> And </w:t>
        </w:r>
        <w:proofErr w:type="spellStart"/>
        <w:r w:rsidR="007B4A5C">
          <w:rPr>
            <w:rStyle w:val="Lienhypertexte"/>
          </w:rPr>
          <w:t>Nuclei</w:t>
        </w:r>
        <w:proofErr w:type="spellEnd"/>
        <w:r w:rsidR="007B4A5C">
          <w:rPr>
            <w:rStyle w:val="Lienhypertexte"/>
          </w:rPr>
          <w:t xml:space="preserve"> International </w:t>
        </w:r>
        <w:proofErr w:type="spellStart"/>
        <w:r w:rsidR="007B4A5C">
          <w:rPr>
            <w:rStyle w:val="Lienhypertexte"/>
          </w:rPr>
          <w:t>Conference</w:t>
        </w:r>
        <w:proofErr w:type="spellEnd"/>
      </w:hyperlink>
      <w:r w:rsidR="007B4A5C">
        <w:t xml:space="preserve">, Eilat, </w:t>
      </w:r>
      <w:proofErr w:type="spellStart"/>
      <w:r w:rsidR="007B4A5C">
        <w:t>Israel</w:t>
      </w:r>
      <w:proofErr w:type="spellEnd"/>
      <w:r w:rsidR="007B4A5C">
        <w:t xml:space="preserve">,   </w:t>
      </w:r>
      <w:proofErr w:type="spellStart"/>
      <w:r w:rsidR="007B4A5C">
        <w:t>November</w:t>
      </w:r>
      <w:proofErr w:type="spellEnd"/>
      <w:r w:rsidR="007B4A5C">
        <w:t xml:space="preserve"> 9-14, 2008</w:t>
      </w:r>
    </w:p>
    <w:p w:rsidR="007B4A5C" w:rsidRDefault="000B4253" w:rsidP="007B4A5C">
      <w:pPr>
        <w:pStyle w:val="Paragraphedeliste"/>
        <w:numPr>
          <w:ilvl w:val="0"/>
          <w:numId w:val="10"/>
        </w:numPr>
        <w:rPr>
          <w:lang w:val="en-US"/>
        </w:rPr>
      </w:pPr>
      <w:hyperlink r:id="rId25" w:history="1">
        <w:r w:rsidR="007B4A5C" w:rsidRPr="007B4A5C">
          <w:rPr>
            <w:rStyle w:val="Lienhypertexte"/>
            <w:lang w:val="en-US"/>
          </w:rPr>
          <w:t>APS Division of Nuclear Physics, Fall Meeting</w:t>
        </w:r>
      </w:hyperlink>
      <w:r w:rsidR="007B4A5C" w:rsidRPr="007B4A5C">
        <w:rPr>
          <w:lang w:val="en-US"/>
        </w:rPr>
        <w:t>, Oakland, CA,   October 23-26, 2008</w:t>
      </w:r>
    </w:p>
    <w:p w:rsidR="007B4A5C" w:rsidRDefault="000B4253" w:rsidP="007B4A5C">
      <w:pPr>
        <w:pStyle w:val="Paragraphedeliste"/>
        <w:numPr>
          <w:ilvl w:val="0"/>
          <w:numId w:val="10"/>
        </w:numPr>
        <w:rPr>
          <w:lang w:val="en-US"/>
        </w:rPr>
      </w:pPr>
      <w:hyperlink r:id="rId26" w:history="1">
        <w:r w:rsidR="007B4A5C" w:rsidRPr="007B4A5C">
          <w:rPr>
            <w:rStyle w:val="Lienhypertexte"/>
            <w:lang w:val="en-US"/>
          </w:rPr>
          <w:t xml:space="preserve"> Strangeness in Quark Matter</w:t>
        </w:r>
      </w:hyperlink>
      <w:r w:rsidR="007B4A5C" w:rsidRPr="007B4A5C">
        <w:rPr>
          <w:lang w:val="en-US"/>
        </w:rPr>
        <w:t xml:space="preserve">, </w:t>
      </w:r>
      <w:proofErr w:type="spellStart"/>
      <w:r w:rsidR="007B4A5C" w:rsidRPr="007B4A5C">
        <w:rPr>
          <w:lang w:val="en-US"/>
        </w:rPr>
        <w:t>Tsinghua</w:t>
      </w:r>
      <w:proofErr w:type="spellEnd"/>
      <w:r w:rsidR="007B4A5C" w:rsidRPr="007B4A5C">
        <w:rPr>
          <w:lang w:val="en-US"/>
        </w:rPr>
        <w:t xml:space="preserve"> University, Beijing, China,   October 6-10, 2008</w:t>
      </w:r>
    </w:p>
    <w:p w:rsidR="007B4A5C" w:rsidRDefault="000B4253" w:rsidP="007B4A5C">
      <w:pPr>
        <w:pStyle w:val="Paragraphedeliste"/>
        <w:numPr>
          <w:ilvl w:val="0"/>
          <w:numId w:val="10"/>
        </w:numPr>
        <w:rPr>
          <w:lang w:val="en-US"/>
        </w:rPr>
      </w:pPr>
      <w:hyperlink r:id="rId27" w:history="1">
        <w:r w:rsidR="007B4A5C" w:rsidRPr="007B4A5C">
          <w:rPr>
            <w:rStyle w:val="Lienhypertexte"/>
            <w:lang w:val="en-US"/>
          </w:rPr>
          <w:t xml:space="preserve"> Hard Probes </w:t>
        </w:r>
        <w:r w:rsidR="002079AD">
          <w:rPr>
            <w:rStyle w:val="Lienhypertexte"/>
            <w:lang w:val="en-US"/>
          </w:rPr>
          <w:t>08</w:t>
        </w:r>
      </w:hyperlink>
      <w:r w:rsidR="007B4A5C" w:rsidRPr="007B4A5C">
        <w:rPr>
          <w:lang w:val="en-US"/>
        </w:rPr>
        <w:t xml:space="preserve">, A </w:t>
      </w:r>
      <w:proofErr w:type="spellStart"/>
      <w:r w:rsidR="007B4A5C" w:rsidRPr="007B4A5C">
        <w:rPr>
          <w:lang w:val="en-US"/>
        </w:rPr>
        <w:t>Toxa</w:t>
      </w:r>
      <w:proofErr w:type="spellEnd"/>
      <w:r w:rsidR="007B4A5C" w:rsidRPr="007B4A5C">
        <w:rPr>
          <w:lang w:val="en-US"/>
        </w:rPr>
        <w:t>, Galicia, Spain,   June 8-14, 2008</w:t>
      </w:r>
    </w:p>
    <w:p w:rsidR="007B4A5C" w:rsidRDefault="007B4A5C" w:rsidP="007B4A5C">
      <w:pPr>
        <w:pStyle w:val="Paragraphedeliste"/>
        <w:numPr>
          <w:ilvl w:val="0"/>
          <w:numId w:val="10"/>
        </w:numPr>
      </w:pPr>
      <w:r>
        <w:t xml:space="preserve">Rencontres de </w:t>
      </w:r>
      <w:proofErr w:type="spellStart"/>
      <w:r>
        <w:t>Moriond</w:t>
      </w:r>
      <w:proofErr w:type="spellEnd"/>
      <w:r>
        <w:t xml:space="preserve">, La </w:t>
      </w:r>
      <w:proofErr w:type="spellStart"/>
      <w:r>
        <w:t>Thuile</w:t>
      </w:r>
      <w:proofErr w:type="spellEnd"/>
      <w:r>
        <w:t xml:space="preserve">, </w:t>
      </w:r>
      <w:proofErr w:type="spellStart"/>
      <w:r>
        <w:t>Italy</w:t>
      </w:r>
      <w:proofErr w:type="spellEnd"/>
      <w:r>
        <w:t>,   March 8-15, 2008</w:t>
      </w:r>
    </w:p>
    <w:p w:rsidR="007B4A5C" w:rsidRDefault="007B4A5C" w:rsidP="007B4A5C">
      <w:pPr>
        <w:pStyle w:val="Paragraphedeliste"/>
        <w:numPr>
          <w:ilvl w:val="0"/>
          <w:numId w:val="10"/>
        </w:numPr>
      </w:pPr>
      <w:r>
        <w:t xml:space="preserve">Quark </w:t>
      </w:r>
      <w:proofErr w:type="spellStart"/>
      <w:r>
        <w:t>Matter</w:t>
      </w:r>
      <w:proofErr w:type="spellEnd"/>
      <w:r>
        <w:t xml:space="preserve"> </w:t>
      </w:r>
      <w:proofErr w:type="spellStart"/>
      <w:r>
        <w:t>Sattelite</w:t>
      </w:r>
      <w:proofErr w:type="spellEnd"/>
      <w:r>
        <w:t xml:space="preserve"> </w:t>
      </w:r>
      <w:proofErr w:type="spellStart"/>
      <w:r>
        <w:t>Mumbai</w:t>
      </w:r>
      <w:proofErr w:type="spellEnd"/>
      <w:r>
        <w:t xml:space="preserve">, </w:t>
      </w:r>
      <w:proofErr w:type="spellStart"/>
      <w:r>
        <w:t>Mumbai</w:t>
      </w:r>
      <w:proofErr w:type="spellEnd"/>
      <w:r>
        <w:t xml:space="preserve">, </w:t>
      </w:r>
      <w:proofErr w:type="spellStart"/>
      <w:r>
        <w:t>India</w:t>
      </w:r>
      <w:proofErr w:type="spellEnd"/>
      <w:r>
        <w:t xml:space="preserve">,   </w:t>
      </w:r>
      <w:proofErr w:type="spellStart"/>
      <w:r>
        <w:t>February</w:t>
      </w:r>
      <w:proofErr w:type="spellEnd"/>
      <w:r>
        <w:t xml:space="preserve"> 12-14, 2008</w:t>
      </w:r>
    </w:p>
    <w:p w:rsidR="007B4A5C" w:rsidRPr="002079AD" w:rsidRDefault="000B4253" w:rsidP="007B4A5C">
      <w:pPr>
        <w:pStyle w:val="Paragraphedeliste"/>
        <w:numPr>
          <w:ilvl w:val="0"/>
          <w:numId w:val="10"/>
        </w:numPr>
        <w:rPr>
          <w:lang w:val="en-US"/>
        </w:rPr>
      </w:pPr>
      <w:hyperlink r:id="rId28" w:history="1">
        <w:r w:rsidR="007B4A5C" w:rsidRPr="002079AD">
          <w:rPr>
            <w:rStyle w:val="Lienhypertexte"/>
            <w:lang w:val="en-US"/>
          </w:rPr>
          <w:t>Quark Matter</w:t>
        </w:r>
        <w:r w:rsidR="002079AD" w:rsidRPr="002079AD">
          <w:rPr>
            <w:rStyle w:val="Lienhypertexte"/>
            <w:lang w:val="en-US"/>
          </w:rPr>
          <w:t>08</w:t>
        </w:r>
      </w:hyperlink>
      <w:r w:rsidR="007B4A5C" w:rsidRPr="002079AD">
        <w:rPr>
          <w:lang w:val="en-US"/>
        </w:rPr>
        <w:t xml:space="preserve">, </w:t>
      </w:r>
      <w:proofErr w:type="spellStart"/>
      <w:r w:rsidR="007B4A5C" w:rsidRPr="002079AD">
        <w:rPr>
          <w:lang w:val="en-US"/>
        </w:rPr>
        <w:t>Jaipur</w:t>
      </w:r>
      <w:proofErr w:type="spellEnd"/>
      <w:r w:rsidR="007B4A5C" w:rsidRPr="002079AD">
        <w:rPr>
          <w:lang w:val="en-US"/>
        </w:rPr>
        <w:t>, Rajasthan, India,   February 4-10, 2008</w:t>
      </w:r>
    </w:p>
    <w:p w:rsidR="007B4A5C" w:rsidRDefault="007B4A5C" w:rsidP="007B4A5C">
      <w:pPr>
        <w:pStyle w:val="Paragraphedeliste"/>
        <w:numPr>
          <w:ilvl w:val="0"/>
          <w:numId w:val="10"/>
        </w:numPr>
        <w:rPr>
          <w:lang w:val="en-US"/>
        </w:rPr>
      </w:pPr>
      <w:r w:rsidRPr="007B4A5C">
        <w:rPr>
          <w:lang w:val="en-US"/>
        </w:rPr>
        <w:t>Workshops in High Energy Physics Phenomenology, Chennai, India,   January 2-13, 2008</w:t>
      </w:r>
    </w:p>
    <w:p w:rsidR="007B4A5C" w:rsidRDefault="000B4253" w:rsidP="007B4A5C">
      <w:pPr>
        <w:pStyle w:val="Paragraphedeliste"/>
        <w:numPr>
          <w:ilvl w:val="0"/>
          <w:numId w:val="10"/>
        </w:numPr>
        <w:rPr>
          <w:lang w:val="en-US"/>
        </w:rPr>
      </w:pPr>
      <w:hyperlink r:id="rId29" w:history="1">
        <w:r w:rsidR="007B4A5C" w:rsidRPr="007B4A5C">
          <w:rPr>
            <w:rStyle w:val="Lienhypertexte"/>
            <w:lang w:val="en-US"/>
          </w:rPr>
          <w:t xml:space="preserve">International Workshop on Heavy </w:t>
        </w:r>
        <w:proofErr w:type="spellStart"/>
        <w:r w:rsidR="007B4A5C" w:rsidRPr="007B4A5C">
          <w:rPr>
            <w:rStyle w:val="Lienhypertexte"/>
            <w:lang w:val="en-US"/>
          </w:rPr>
          <w:t>Quarkonium</w:t>
        </w:r>
        <w:proofErr w:type="spellEnd"/>
      </w:hyperlink>
      <w:r w:rsidR="007B4A5C" w:rsidRPr="007B4A5C">
        <w:rPr>
          <w:lang w:val="en-US"/>
        </w:rPr>
        <w:t>, DESY, Hamburg,   October 17-20, 2007</w:t>
      </w:r>
    </w:p>
    <w:p w:rsidR="007B4A5C" w:rsidRDefault="000B4253" w:rsidP="007B4A5C">
      <w:pPr>
        <w:pStyle w:val="Paragraphedeliste"/>
        <w:numPr>
          <w:ilvl w:val="0"/>
          <w:numId w:val="10"/>
        </w:numPr>
        <w:rPr>
          <w:lang w:val="en-US"/>
        </w:rPr>
      </w:pPr>
      <w:hyperlink r:id="rId30" w:history="1">
        <w:r w:rsidR="007B4A5C" w:rsidRPr="007B4A5C">
          <w:rPr>
            <w:rStyle w:val="Lienhypertexte"/>
            <w:lang w:val="en-US"/>
          </w:rPr>
          <w:t>Deep Inelastic Scattering</w:t>
        </w:r>
      </w:hyperlink>
      <w:r w:rsidR="007B4A5C" w:rsidRPr="007B4A5C">
        <w:rPr>
          <w:lang w:val="en-US"/>
        </w:rPr>
        <w:t>, Munich, Germany,   April 16-20, 2007</w:t>
      </w:r>
    </w:p>
    <w:p w:rsidR="007B4A5C" w:rsidRDefault="000B4253" w:rsidP="007B4A5C">
      <w:pPr>
        <w:pStyle w:val="Paragraphedeliste"/>
        <w:numPr>
          <w:ilvl w:val="0"/>
          <w:numId w:val="10"/>
        </w:numPr>
        <w:rPr>
          <w:lang w:val="en-US"/>
        </w:rPr>
      </w:pPr>
      <w:hyperlink r:id="rId31" w:history="1">
        <w:r w:rsidR="007B4A5C" w:rsidRPr="007B4A5C">
          <w:rPr>
            <w:rStyle w:val="Lienhypertexte"/>
            <w:lang w:val="en-US"/>
          </w:rPr>
          <w:t>Conference on Quarks and Nuclear Physics</w:t>
        </w:r>
      </w:hyperlink>
      <w:r w:rsidR="007B4A5C" w:rsidRPr="007B4A5C">
        <w:rPr>
          <w:lang w:val="en-US"/>
        </w:rPr>
        <w:t>, Madrid, Spain,   June 5-10, 2006</w:t>
      </w:r>
    </w:p>
    <w:p w:rsidR="007B4A5C" w:rsidRDefault="000B4253" w:rsidP="007B4A5C">
      <w:pPr>
        <w:pStyle w:val="Paragraphedeliste"/>
        <w:numPr>
          <w:ilvl w:val="0"/>
          <w:numId w:val="10"/>
        </w:numPr>
        <w:rPr>
          <w:lang w:val="en-US"/>
        </w:rPr>
      </w:pPr>
      <w:hyperlink r:id="rId32" w:history="1">
        <w:r w:rsidR="007B4A5C" w:rsidRPr="007B4A5C">
          <w:rPr>
            <w:rStyle w:val="Lienhypertexte"/>
            <w:lang w:val="en-US"/>
          </w:rPr>
          <w:t xml:space="preserve"> Strangeness in Quark Matter</w:t>
        </w:r>
      </w:hyperlink>
      <w:r w:rsidR="007B4A5C" w:rsidRPr="007B4A5C">
        <w:rPr>
          <w:lang w:val="en-US"/>
        </w:rPr>
        <w:t>, Univ. of California, Los Angeles,   March 26-31, 2006</w:t>
      </w:r>
    </w:p>
    <w:p w:rsidR="00B56B61" w:rsidRDefault="000B4253" w:rsidP="007B4A5C">
      <w:pPr>
        <w:pStyle w:val="Paragraphedeliste"/>
        <w:numPr>
          <w:ilvl w:val="0"/>
          <w:numId w:val="10"/>
        </w:numPr>
        <w:rPr>
          <w:lang w:val="en-US"/>
        </w:rPr>
      </w:pPr>
      <w:hyperlink r:id="rId33" w:history="1">
        <w:r w:rsidR="00B56B61" w:rsidRPr="002079AD">
          <w:rPr>
            <w:rStyle w:val="Lienhypertexte"/>
            <w:lang w:val="en-US"/>
          </w:rPr>
          <w:t>Quark Matter</w:t>
        </w:r>
        <w:r w:rsidR="002079AD" w:rsidRPr="002079AD">
          <w:rPr>
            <w:rStyle w:val="Lienhypertexte"/>
            <w:lang w:val="en-US"/>
          </w:rPr>
          <w:t>05</w:t>
        </w:r>
      </w:hyperlink>
      <w:r w:rsidR="00B56B61" w:rsidRPr="002079AD">
        <w:rPr>
          <w:lang w:val="en-US"/>
        </w:rPr>
        <w:t>, Budapest, Hungary,   August 4-9, 2005</w:t>
      </w:r>
    </w:p>
    <w:p w:rsidR="007B4A5C" w:rsidRDefault="000B4253" w:rsidP="007B4A5C">
      <w:pPr>
        <w:pStyle w:val="Paragraphedeliste"/>
        <w:numPr>
          <w:ilvl w:val="0"/>
          <w:numId w:val="10"/>
        </w:numPr>
        <w:rPr>
          <w:lang w:val="en-US"/>
        </w:rPr>
      </w:pPr>
      <w:hyperlink r:id="rId34" w:history="1">
        <w:r w:rsidR="007B4A5C" w:rsidRPr="007B4A5C">
          <w:rPr>
            <w:rStyle w:val="Lienhypertexte"/>
            <w:lang w:val="en-US"/>
          </w:rPr>
          <w:t xml:space="preserve"> Hard Probes </w:t>
        </w:r>
        <w:r w:rsidR="002079AD">
          <w:rPr>
            <w:rStyle w:val="Lienhypertexte"/>
            <w:lang w:val="en-US"/>
          </w:rPr>
          <w:t>04</w:t>
        </w:r>
      </w:hyperlink>
      <w:r w:rsidR="007B4A5C" w:rsidRPr="007B4A5C">
        <w:rPr>
          <w:lang w:val="en-US"/>
        </w:rPr>
        <w:t>, Lisbon, Portugal,   November 4-10, 2004</w:t>
      </w:r>
    </w:p>
    <w:p w:rsidR="007B4A5C" w:rsidRDefault="000B4253" w:rsidP="007B4A5C">
      <w:pPr>
        <w:pStyle w:val="Paragraphedeliste"/>
        <w:numPr>
          <w:ilvl w:val="0"/>
          <w:numId w:val="10"/>
        </w:numPr>
        <w:rPr>
          <w:lang w:val="en-US"/>
        </w:rPr>
      </w:pPr>
      <w:hyperlink r:id="rId35" w:history="1">
        <w:r w:rsidR="007B4A5C" w:rsidRPr="007B4A5C">
          <w:rPr>
            <w:rStyle w:val="Lienhypertexte"/>
            <w:lang w:val="en-US"/>
          </w:rPr>
          <w:t xml:space="preserve"> Strangeness in Quark Matter</w:t>
        </w:r>
      </w:hyperlink>
      <w:r w:rsidR="007B4A5C" w:rsidRPr="007B4A5C">
        <w:rPr>
          <w:lang w:val="en-US"/>
        </w:rPr>
        <w:t>, Cape Town, South Africa,   September 15-20, 2004</w:t>
      </w:r>
    </w:p>
    <w:p w:rsidR="007B4A5C" w:rsidRPr="007B4A5C" w:rsidRDefault="000B4253" w:rsidP="007B4A5C">
      <w:pPr>
        <w:pStyle w:val="Paragraphedeliste"/>
        <w:numPr>
          <w:ilvl w:val="0"/>
          <w:numId w:val="10"/>
        </w:numPr>
        <w:rPr>
          <w:lang w:val="en-US"/>
        </w:rPr>
      </w:pPr>
      <w:hyperlink r:id="rId36" w:history="1">
        <w:r w:rsidR="007B4A5C" w:rsidRPr="002079AD">
          <w:rPr>
            <w:rStyle w:val="Lienhypertexte"/>
            <w:lang w:val="en-US"/>
          </w:rPr>
          <w:t>Quark Matter</w:t>
        </w:r>
        <w:r w:rsidR="002079AD" w:rsidRPr="002079AD">
          <w:rPr>
            <w:rStyle w:val="Lienhypertexte"/>
            <w:lang w:val="en-US"/>
          </w:rPr>
          <w:t>04</w:t>
        </w:r>
      </w:hyperlink>
      <w:r w:rsidR="007B4A5C" w:rsidRPr="002079AD">
        <w:rPr>
          <w:lang w:val="en-US"/>
        </w:rPr>
        <w:t>, Oakland, CA,   January 11-17, 2004</w:t>
      </w:r>
    </w:p>
    <w:p w:rsidR="007B4A5C" w:rsidRDefault="000B4253" w:rsidP="007B4A5C">
      <w:pPr>
        <w:pStyle w:val="Paragraphedeliste"/>
        <w:numPr>
          <w:ilvl w:val="0"/>
          <w:numId w:val="10"/>
        </w:numPr>
        <w:rPr>
          <w:lang w:val="en-US"/>
        </w:rPr>
      </w:pPr>
      <w:hyperlink r:id="rId37" w:history="1">
        <w:r w:rsidR="007B4A5C" w:rsidRPr="007B4A5C">
          <w:rPr>
            <w:rStyle w:val="Lienhypertexte"/>
            <w:lang w:val="en-US"/>
          </w:rPr>
          <w:t>Heavy Ion Collisions</w:t>
        </w:r>
      </w:hyperlink>
      <w:r w:rsidR="007B4A5C" w:rsidRPr="007B4A5C">
        <w:rPr>
          <w:lang w:val="en-US"/>
        </w:rPr>
        <w:t>, McGill Univ., Montreal, Canada,   June 25-28, 2003</w:t>
      </w:r>
    </w:p>
    <w:p w:rsidR="007B4A5C" w:rsidRDefault="000B4253" w:rsidP="007B4A5C">
      <w:pPr>
        <w:pStyle w:val="Paragraphedeliste"/>
        <w:numPr>
          <w:ilvl w:val="0"/>
          <w:numId w:val="10"/>
        </w:numPr>
        <w:rPr>
          <w:lang w:val="en-US"/>
        </w:rPr>
      </w:pPr>
      <w:hyperlink r:id="rId38" w:history="1">
        <w:r w:rsidR="007B4A5C" w:rsidRPr="007B4A5C">
          <w:rPr>
            <w:rStyle w:val="Lienhypertexte"/>
            <w:lang w:val="en-US"/>
          </w:rPr>
          <w:t>Conf. on Intersections of Particle And Nuclear Physics</w:t>
        </w:r>
      </w:hyperlink>
      <w:r w:rsidR="007B4A5C" w:rsidRPr="007B4A5C">
        <w:rPr>
          <w:lang w:val="en-US"/>
        </w:rPr>
        <w:t>, New York, NY,   May 19-24, 2003</w:t>
      </w:r>
    </w:p>
    <w:p w:rsidR="007B4A5C" w:rsidRDefault="000B4253" w:rsidP="007B4A5C">
      <w:pPr>
        <w:pStyle w:val="Paragraphedeliste"/>
        <w:numPr>
          <w:ilvl w:val="0"/>
          <w:numId w:val="10"/>
        </w:numPr>
        <w:rPr>
          <w:lang w:val="en-US"/>
        </w:rPr>
      </w:pPr>
      <w:hyperlink r:id="rId39" w:history="1">
        <w:r w:rsidR="007B4A5C" w:rsidRPr="007B4A5C">
          <w:rPr>
            <w:rStyle w:val="Lienhypertexte"/>
            <w:lang w:val="en-US"/>
          </w:rPr>
          <w:t>Institute for Nuclear Theory Workshops</w:t>
        </w:r>
      </w:hyperlink>
      <w:r w:rsidR="007B4A5C" w:rsidRPr="007B4A5C">
        <w:rPr>
          <w:lang w:val="en-US"/>
        </w:rPr>
        <w:t>, Washington Univ.,   March 31-June 20, 2003</w:t>
      </w:r>
    </w:p>
    <w:p w:rsidR="000047E2" w:rsidRDefault="000B4253" w:rsidP="007B4A5C">
      <w:pPr>
        <w:pStyle w:val="Paragraphedeliste"/>
        <w:numPr>
          <w:ilvl w:val="0"/>
          <w:numId w:val="10"/>
        </w:numPr>
        <w:rPr>
          <w:lang w:val="en-US"/>
        </w:rPr>
      </w:pPr>
      <w:hyperlink r:id="rId40" w:history="1">
        <w:r w:rsidR="000047E2" w:rsidRPr="000047E2">
          <w:rPr>
            <w:rStyle w:val="Lienhypertexte"/>
            <w:lang w:val="en-US"/>
          </w:rPr>
          <w:t>Winter Workshop on Nuclear Dynamics</w:t>
        </w:r>
      </w:hyperlink>
      <w:r w:rsidR="000047E2" w:rsidRPr="000047E2">
        <w:rPr>
          <w:lang w:val="en-US"/>
        </w:rPr>
        <w:t>, Breckenridge, CO,   February 9-14, 2003</w:t>
      </w:r>
    </w:p>
    <w:p w:rsidR="000047E2" w:rsidRDefault="000B4253" w:rsidP="007B4A5C">
      <w:pPr>
        <w:pStyle w:val="Paragraphedeliste"/>
        <w:numPr>
          <w:ilvl w:val="0"/>
          <w:numId w:val="10"/>
        </w:numPr>
        <w:rPr>
          <w:lang w:val="en-US"/>
        </w:rPr>
      </w:pPr>
      <w:hyperlink r:id="rId41" w:history="1">
        <w:r w:rsidR="000047E2" w:rsidRPr="000047E2">
          <w:rPr>
            <w:rStyle w:val="Lienhypertexte"/>
            <w:lang w:val="en-US"/>
          </w:rPr>
          <w:t>International Conference on High Energy Physics</w:t>
        </w:r>
      </w:hyperlink>
      <w:r w:rsidR="000047E2" w:rsidRPr="000047E2">
        <w:rPr>
          <w:lang w:val="en-US"/>
        </w:rPr>
        <w:t>, Amsterdam,   July 24-31, 2002</w:t>
      </w:r>
    </w:p>
    <w:p w:rsidR="002079AD" w:rsidRDefault="000B4253" w:rsidP="007B4A5C">
      <w:pPr>
        <w:pStyle w:val="Paragraphedeliste"/>
        <w:numPr>
          <w:ilvl w:val="0"/>
          <w:numId w:val="10"/>
        </w:numPr>
        <w:rPr>
          <w:lang w:val="en-US"/>
        </w:rPr>
      </w:pPr>
      <w:hyperlink r:id="rId42" w:history="1">
        <w:r w:rsidR="002079AD">
          <w:rPr>
            <w:rStyle w:val="Lienhypertexte"/>
          </w:rPr>
          <w:t>Quark Matter02</w:t>
        </w:r>
      </w:hyperlink>
      <w:r w:rsidR="002079AD">
        <w:t>, Nantes,   July 18-24, 2002</w:t>
      </w:r>
    </w:p>
    <w:p w:rsidR="00DE1710" w:rsidRPr="000047E2" w:rsidRDefault="000B4253" w:rsidP="00194CF8">
      <w:pPr>
        <w:pStyle w:val="Paragraphedeliste"/>
        <w:numPr>
          <w:ilvl w:val="0"/>
          <w:numId w:val="10"/>
        </w:numPr>
      </w:pPr>
      <w:hyperlink r:id="rId43" w:history="1">
        <w:r w:rsidR="000047E2">
          <w:rPr>
            <w:rStyle w:val="Lienhypertexte"/>
          </w:rPr>
          <w:t xml:space="preserve">Rencontres de </w:t>
        </w:r>
        <w:proofErr w:type="spellStart"/>
        <w:r w:rsidR="000047E2">
          <w:rPr>
            <w:rStyle w:val="Lienhypertexte"/>
          </w:rPr>
          <w:t>Moriond</w:t>
        </w:r>
        <w:proofErr w:type="spellEnd"/>
      </w:hyperlink>
      <w:r w:rsidR="000047E2">
        <w:t>, Les Arcs, France,   March 16-23, 2002</w:t>
      </w:r>
    </w:p>
    <w:p w:rsidR="00DE1710" w:rsidRDefault="00DE1710" w:rsidP="00194CF8">
      <w:pPr>
        <w:pStyle w:val="Titre1"/>
        <w:numPr>
          <w:ilvl w:val="0"/>
          <w:numId w:val="1"/>
        </w:numPr>
      </w:pPr>
      <w:r>
        <w:t>Perspectives et c</w:t>
      </w:r>
      <w:r w:rsidR="00F20365">
        <w:t>onclusion</w:t>
      </w:r>
    </w:p>
    <w:p w:rsidR="003126A8" w:rsidRDefault="00DE1710" w:rsidP="00DE1710">
      <w:pPr>
        <w:ind w:left="360"/>
        <w:jc w:val="both"/>
      </w:pPr>
      <w:r>
        <w:t xml:space="preserve">L’implication de l’IN2P3 et du CEA dans </w:t>
      </w:r>
      <w:proofErr w:type="spellStart"/>
      <w:r>
        <w:t>Phenix</w:t>
      </w:r>
      <w:proofErr w:type="spellEnd"/>
      <w:r>
        <w:t xml:space="preserve"> est aujourd’hui décroissante. Au </w:t>
      </w:r>
      <w:proofErr w:type="spellStart"/>
      <w:r>
        <w:t>SPhN</w:t>
      </w:r>
      <w:proofErr w:type="spellEnd"/>
      <w:r>
        <w:t xml:space="preserve">, seul Hugo </w:t>
      </w:r>
      <w:proofErr w:type="spellStart"/>
      <w:r>
        <w:t>Perreira</w:t>
      </w:r>
      <w:proofErr w:type="spellEnd"/>
      <w:r>
        <w:t xml:space="preserve"> est encore actif ; au LPC, Guy Roche ; à Orsay, Denis </w:t>
      </w:r>
      <w:proofErr w:type="spellStart"/>
      <w:r>
        <w:t>Jouan</w:t>
      </w:r>
      <w:proofErr w:type="spellEnd"/>
      <w:r>
        <w:t xml:space="preserve"> ; au LLR, Olivier Drapier, Frédéric Fleuret, Raphaël </w:t>
      </w:r>
      <w:proofErr w:type="spellStart"/>
      <w:r>
        <w:t>Granier</w:t>
      </w:r>
      <w:proofErr w:type="spellEnd"/>
      <w:r>
        <w:t xml:space="preserve"> de Cassagnac et Michel Gonin participent encore aux acquisitions de données, mais ils ont tous des implications dans d’autres activités scientifiques : Olivier Drapier et Michel Gonin sont impliqués dans l’expérience T2K, Raphaël </w:t>
      </w:r>
      <w:proofErr w:type="spellStart"/>
      <w:r>
        <w:t>Granier</w:t>
      </w:r>
      <w:proofErr w:type="spellEnd"/>
      <w:r>
        <w:t xml:space="preserve"> de Cassagnac a démarré une activité CMS ions lourds au LLR et Frédéric Fleuret est principalement impliqué dans des études phénoménologiques et prospectives. </w:t>
      </w:r>
    </w:p>
    <w:p w:rsidR="00194CF8" w:rsidRDefault="00194CF8" w:rsidP="00DE1710">
      <w:pPr>
        <w:ind w:left="360"/>
        <w:jc w:val="both"/>
      </w:pPr>
      <w:proofErr w:type="spellStart"/>
      <w:r>
        <w:t>Echéanc</w:t>
      </w:r>
      <w:r w:rsidR="0030188C">
        <w:t>ier</w:t>
      </w:r>
      <w:proofErr w:type="spellEnd"/>
      <w:r>
        <w:t> :</w:t>
      </w:r>
    </w:p>
    <w:p w:rsidR="00194CF8" w:rsidRPr="0030188C" w:rsidRDefault="00567C55" w:rsidP="00194CF8">
      <w:pPr>
        <w:pStyle w:val="Paragraphedeliste"/>
        <w:numPr>
          <w:ilvl w:val="0"/>
          <w:numId w:val="10"/>
        </w:numPr>
        <w:jc w:val="both"/>
      </w:pPr>
      <w:r>
        <w:t>A l’IPN</w:t>
      </w:r>
      <w:r w:rsidR="00194CF8" w:rsidRPr="0030188C">
        <w:t xml:space="preserve">, Denis </w:t>
      </w:r>
      <w:proofErr w:type="spellStart"/>
      <w:r w:rsidR="00194CF8" w:rsidRPr="0030188C">
        <w:t>Jouan</w:t>
      </w:r>
      <w:proofErr w:type="spellEnd"/>
      <w:r w:rsidR="00194CF8" w:rsidRPr="0030188C">
        <w:t xml:space="preserve"> </w:t>
      </w:r>
      <w:r w:rsidR="0030188C">
        <w:t>n’</w:t>
      </w:r>
      <w:r w:rsidR="00194CF8" w:rsidRPr="0030188C">
        <w:t xml:space="preserve">envisage </w:t>
      </w:r>
      <w:r w:rsidR="0030188C">
        <w:t>pas actuellement de quitter la collaboration</w:t>
      </w:r>
      <w:r w:rsidR="00194CF8" w:rsidRPr="0030188C">
        <w:t>,</w:t>
      </w:r>
    </w:p>
    <w:p w:rsidR="00194CF8" w:rsidRDefault="00194CF8" w:rsidP="00194CF8">
      <w:pPr>
        <w:pStyle w:val="Paragraphedeliste"/>
        <w:numPr>
          <w:ilvl w:val="0"/>
          <w:numId w:val="10"/>
        </w:numPr>
        <w:jc w:val="both"/>
      </w:pPr>
      <w:r>
        <w:t xml:space="preserve">Au LLR, </w:t>
      </w:r>
      <w:r w:rsidR="00F0465F">
        <w:t>le groupe compte ex</w:t>
      </w:r>
      <w:r w:rsidR="00A459A9">
        <w:t>ploiter</w:t>
      </w:r>
      <w:r w:rsidR="00D0119A">
        <w:t xml:space="preserve"> la carte S.P.I.R.O. en participant aux </w:t>
      </w:r>
      <w:r w:rsidR="00F0465F">
        <w:t xml:space="preserve">premières </w:t>
      </w:r>
      <w:r w:rsidR="00D0119A">
        <w:t>p</w:t>
      </w:r>
      <w:r w:rsidR="00F0465F">
        <w:t>ublications de physique produites</w:t>
      </w:r>
      <w:r w:rsidR="00D0119A">
        <w:t xml:space="preserve"> </w:t>
      </w:r>
      <w:r w:rsidR="00F0465F">
        <w:t>avec les données du</w:t>
      </w:r>
      <w:r w:rsidR="00D0119A">
        <w:t xml:space="preserve"> détecteur de vertex. Les membres du groupe </w:t>
      </w:r>
      <w:r w:rsidR="00F0465F">
        <w:t>n’</w:t>
      </w:r>
      <w:r w:rsidR="00D0119A">
        <w:t>envisage</w:t>
      </w:r>
      <w:r w:rsidR="00F0465F">
        <w:t xml:space="preserve">nt pas </w:t>
      </w:r>
      <w:r w:rsidR="00E75983">
        <w:t xml:space="preserve">actuellement </w:t>
      </w:r>
      <w:r w:rsidR="00F0465F">
        <w:t>de continuer après</w:t>
      </w:r>
      <w:r>
        <w:t xml:space="preserve"> 2012,</w:t>
      </w:r>
    </w:p>
    <w:p w:rsidR="00194CF8" w:rsidRDefault="00194CF8" w:rsidP="00194CF8">
      <w:pPr>
        <w:pStyle w:val="Paragraphedeliste"/>
        <w:numPr>
          <w:ilvl w:val="0"/>
          <w:numId w:val="10"/>
        </w:numPr>
        <w:jc w:val="both"/>
      </w:pPr>
      <w:r>
        <w:t>Au LPC, Guy Roche n’envisage pas de continuer au-delà de 2012,</w:t>
      </w:r>
    </w:p>
    <w:p w:rsidR="00DE1710" w:rsidRDefault="00194CF8" w:rsidP="00DE1710">
      <w:pPr>
        <w:pStyle w:val="Paragraphedeliste"/>
        <w:numPr>
          <w:ilvl w:val="0"/>
          <w:numId w:val="10"/>
        </w:numPr>
        <w:jc w:val="both"/>
      </w:pPr>
      <w:r>
        <w:t xml:space="preserve">Au </w:t>
      </w:r>
      <w:proofErr w:type="spellStart"/>
      <w:r>
        <w:t>SPhN</w:t>
      </w:r>
      <w:proofErr w:type="spellEnd"/>
      <w:r>
        <w:t>, l’activité PHENIX sera arrêtée en 2011.</w:t>
      </w:r>
    </w:p>
    <w:p w:rsidR="00194CF8" w:rsidRDefault="00194CF8" w:rsidP="00194CF8">
      <w:pPr>
        <w:jc w:val="both"/>
      </w:pPr>
    </w:p>
    <w:p w:rsidR="002A1E19" w:rsidRPr="00DE1710" w:rsidRDefault="002A1E19" w:rsidP="002A1E19">
      <w:pPr>
        <w:jc w:val="both"/>
      </w:pPr>
      <w:r>
        <w:t>En conclusion, après une dizaine d’années de participation à l’expérience PHENIX, le bilan de la communauté française apparait très positif. Pour une contribution financière à la réalisation de l’appareillage relativement modeste (de l’ordre de 500 k€), nous avons obtenu de nombreux résultats, tant du point de vue de nos participations actives aux analyses, aux publications et aux conférences. Par ailleurs, les résultats de physique obtenus marquent une étape dans l’étude du plasma de quarks et de gluons et servent déjà de guide pour les analyses envisagées au LHC.</w:t>
      </w:r>
    </w:p>
    <w:sectPr w:rsidR="002A1E19" w:rsidRPr="00DE1710" w:rsidSect="008B456C">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A3" w:rsidRDefault="00BD2DA3" w:rsidP="00FB73C3">
      <w:pPr>
        <w:spacing w:after="0" w:line="240" w:lineRule="auto"/>
      </w:pPr>
      <w:r>
        <w:separator/>
      </w:r>
    </w:p>
  </w:endnote>
  <w:endnote w:type="continuationSeparator" w:id="0">
    <w:p w:rsidR="00BD2DA3" w:rsidRDefault="00BD2DA3" w:rsidP="00FB7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797"/>
      <w:docPartObj>
        <w:docPartGallery w:val="Page Numbers (Bottom of Page)"/>
        <w:docPartUnique/>
      </w:docPartObj>
    </w:sdtPr>
    <w:sdtContent>
      <w:p w:rsidR="00BD2DA3" w:rsidRDefault="000B4253">
        <w:pPr>
          <w:pStyle w:val="Pieddepage"/>
          <w:jc w:val="right"/>
        </w:pPr>
        <w:fldSimple w:instr=" PAGE   \* MERGEFORMAT ">
          <w:r w:rsidR="004D22F7">
            <w:rPr>
              <w:noProof/>
            </w:rPr>
            <w:t>2</w:t>
          </w:r>
        </w:fldSimple>
      </w:p>
    </w:sdtContent>
  </w:sdt>
  <w:p w:rsidR="00BD2DA3" w:rsidRDefault="00BD2D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A3" w:rsidRDefault="00BD2DA3" w:rsidP="00FB73C3">
      <w:pPr>
        <w:spacing w:after="0" w:line="240" w:lineRule="auto"/>
      </w:pPr>
      <w:r>
        <w:separator/>
      </w:r>
    </w:p>
  </w:footnote>
  <w:footnote w:type="continuationSeparator" w:id="0">
    <w:p w:rsidR="00BD2DA3" w:rsidRDefault="00BD2DA3" w:rsidP="00FB73C3">
      <w:pPr>
        <w:spacing w:after="0" w:line="240" w:lineRule="auto"/>
      </w:pPr>
      <w:r>
        <w:continuationSeparator/>
      </w:r>
    </w:p>
  </w:footnote>
  <w:footnote w:id="1">
    <w:p w:rsidR="00BD2DA3" w:rsidRDefault="00BD2DA3">
      <w:pPr>
        <w:pStyle w:val="Notedebasdepage"/>
      </w:pPr>
      <w:r>
        <w:rPr>
          <w:rStyle w:val="Appelnotedebasdep"/>
        </w:rPr>
        <w:footnoteRef/>
      </w:r>
      <w:r>
        <w:t xml:space="preserve"> Aujourd’hui IRFU</w:t>
      </w:r>
    </w:p>
  </w:footnote>
  <w:footnote w:id="2">
    <w:p w:rsidR="00BD2DA3" w:rsidRDefault="00BD2DA3">
      <w:pPr>
        <w:pStyle w:val="Notedebasdepage"/>
      </w:pPr>
      <w:r>
        <w:rPr>
          <w:rStyle w:val="Appelnotedebasdep"/>
        </w:rPr>
        <w:footnoteRef/>
      </w:r>
      <w:r>
        <w:t xml:space="preserve"> Voir </w:t>
      </w:r>
      <w:hyperlink r:id="rId1" w:history="1">
        <w:r w:rsidRPr="00224760">
          <w:rPr>
            <w:rStyle w:val="Lienhypertexte"/>
          </w:rPr>
          <w:t>http://www.phenix.bnl.gov/techpapers.html</w:t>
        </w:r>
      </w:hyperlink>
      <w:r>
        <w:t xml:space="preserve"> pour la liste des publications techniques</w:t>
      </w:r>
    </w:p>
  </w:footnote>
  <w:footnote w:id="3">
    <w:p w:rsidR="00BD2DA3" w:rsidRDefault="00BD2DA3">
      <w:pPr>
        <w:pStyle w:val="Notedebasdepage"/>
      </w:pPr>
      <w:r>
        <w:rPr>
          <w:rStyle w:val="Appelnotedebasdep"/>
        </w:rPr>
        <w:footnoteRef/>
      </w:r>
      <w:r>
        <w:t xml:space="preserve"> Voir </w:t>
      </w:r>
      <w:hyperlink r:id="rId2" w:history="1">
        <w:r w:rsidRPr="00224760">
          <w:rPr>
            <w:rStyle w:val="Lienhypertexte"/>
          </w:rPr>
          <w:t>http://polzope.in2p3.fr:8081/PHENIX/projet-spiro</w:t>
        </w:r>
      </w:hyperlink>
      <w:r>
        <w:t xml:space="preserve"> </w:t>
      </w:r>
    </w:p>
  </w:footnote>
  <w:footnote w:id="4">
    <w:p w:rsidR="00BD2DA3" w:rsidRDefault="00BD2DA3">
      <w:pPr>
        <w:pStyle w:val="Notedebasdepage"/>
      </w:pPr>
      <w:r>
        <w:rPr>
          <w:rStyle w:val="Appelnotedebasdep"/>
        </w:rPr>
        <w:footnoteRef/>
      </w:r>
      <w:r>
        <w:t xml:space="preserve"> Voir </w:t>
      </w:r>
      <w:hyperlink r:id="rId3" w:history="1">
        <w:r w:rsidRPr="00224760">
          <w:rPr>
            <w:rStyle w:val="Lienhypertexte"/>
          </w:rPr>
          <w:t>http://www.phenix.bnl.gov/WWW/fvtx/</w:t>
        </w:r>
      </w:hyperlink>
      <w:r>
        <w:t xml:space="preserve"> </w:t>
      </w:r>
    </w:p>
  </w:footnote>
  <w:footnote w:id="5">
    <w:p w:rsidR="00BD2DA3" w:rsidRDefault="00BD2DA3">
      <w:pPr>
        <w:pStyle w:val="Notedebasdepage"/>
      </w:pPr>
      <w:r>
        <w:rPr>
          <w:rStyle w:val="Appelnotedebasdep"/>
        </w:rPr>
        <w:footnoteRef/>
      </w:r>
      <w:r>
        <w:t xml:space="preserve"> Voir </w:t>
      </w:r>
      <w:hyperlink r:id="rId4" w:history="1">
        <w:r w:rsidRPr="00224760">
          <w:rPr>
            <w:rStyle w:val="Lienhypertexte"/>
          </w:rPr>
          <w:t>http://polzope.in2p3.fr:8081/PHENIX/projet-spiro</w:t>
        </w:r>
      </w:hyperlink>
      <w:r>
        <w:t xml:space="preserve"> pour la documentation associée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F88"/>
    <w:multiLevelType w:val="hybridMultilevel"/>
    <w:tmpl w:val="0228FAB2"/>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26CF3"/>
    <w:multiLevelType w:val="hybridMultilevel"/>
    <w:tmpl w:val="FC96AC8E"/>
    <w:lvl w:ilvl="0" w:tplc="1890956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CF5D25"/>
    <w:multiLevelType w:val="hybridMultilevel"/>
    <w:tmpl w:val="2C5ACD1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E63F96"/>
    <w:multiLevelType w:val="hybridMultilevel"/>
    <w:tmpl w:val="3372ED26"/>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4">
    <w:nsid w:val="170021C4"/>
    <w:multiLevelType w:val="hybridMultilevel"/>
    <w:tmpl w:val="4606A9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C57720A"/>
    <w:multiLevelType w:val="hybridMultilevel"/>
    <w:tmpl w:val="6570E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440DEC"/>
    <w:multiLevelType w:val="hybridMultilevel"/>
    <w:tmpl w:val="AEF68D6C"/>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9E3ECE"/>
    <w:multiLevelType w:val="hybridMultilevel"/>
    <w:tmpl w:val="3CF259BA"/>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0491534"/>
    <w:multiLevelType w:val="hybridMultilevel"/>
    <w:tmpl w:val="3934D53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31054F40"/>
    <w:multiLevelType w:val="hybridMultilevel"/>
    <w:tmpl w:val="284EC648"/>
    <w:lvl w:ilvl="0" w:tplc="18909568">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B306574"/>
    <w:multiLevelType w:val="hybridMultilevel"/>
    <w:tmpl w:val="28F4913E"/>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B11213"/>
    <w:multiLevelType w:val="hybridMultilevel"/>
    <w:tmpl w:val="4148D9F8"/>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0429A4"/>
    <w:multiLevelType w:val="hybridMultilevel"/>
    <w:tmpl w:val="76342412"/>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DA6989"/>
    <w:multiLevelType w:val="hybridMultilevel"/>
    <w:tmpl w:val="EEEEAB1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8242C5E"/>
    <w:multiLevelType w:val="hybridMultilevel"/>
    <w:tmpl w:val="2C5ACD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6E17DF"/>
    <w:multiLevelType w:val="hybridMultilevel"/>
    <w:tmpl w:val="E894034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A4161E"/>
    <w:multiLevelType w:val="hybridMultilevel"/>
    <w:tmpl w:val="891C8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153363"/>
    <w:multiLevelType w:val="hybridMultilevel"/>
    <w:tmpl w:val="8182E122"/>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D30B8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7673AB"/>
    <w:multiLevelType w:val="hybridMultilevel"/>
    <w:tmpl w:val="5650A3A2"/>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924382"/>
    <w:multiLevelType w:val="hybridMultilevel"/>
    <w:tmpl w:val="07C8D5AA"/>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01574A"/>
    <w:multiLevelType w:val="hybridMultilevel"/>
    <w:tmpl w:val="1A1E4094"/>
    <w:lvl w:ilvl="0" w:tplc="189095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8"/>
  </w:num>
  <w:num w:numId="5">
    <w:abstractNumId w:val="3"/>
  </w:num>
  <w:num w:numId="6">
    <w:abstractNumId w:val="13"/>
  </w:num>
  <w:num w:numId="7">
    <w:abstractNumId w:val="10"/>
  </w:num>
  <w:num w:numId="8">
    <w:abstractNumId w:val="21"/>
  </w:num>
  <w:num w:numId="9">
    <w:abstractNumId w:val="15"/>
  </w:num>
  <w:num w:numId="10">
    <w:abstractNumId w:val="20"/>
  </w:num>
  <w:num w:numId="11">
    <w:abstractNumId w:val="17"/>
  </w:num>
  <w:num w:numId="12">
    <w:abstractNumId w:val="11"/>
  </w:num>
  <w:num w:numId="13">
    <w:abstractNumId w:val="0"/>
  </w:num>
  <w:num w:numId="14">
    <w:abstractNumId w:val="7"/>
  </w:num>
  <w:num w:numId="15">
    <w:abstractNumId w:val="4"/>
  </w:num>
  <w:num w:numId="16">
    <w:abstractNumId w:val="19"/>
  </w:num>
  <w:num w:numId="17">
    <w:abstractNumId w:val="6"/>
  </w:num>
  <w:num w:numId="18">
    <w:abstractNumId w:val="12"/>
  </w:num>
  <w:num w:numId="19">
    <w:abstractNumId w:val="2"/>
  </w:num>
  <w:num w:numId="20">
    <w:abstractNumId w:val="14"/>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0365"/>
    <w:rsid w:val="000047E2"/>
    <w:rsid w:val="000623B7"/>
    <w:rsid w:val="00082B1E"/>
    <w:rsid w:val="00082E77"/>
    <w:rsid w:val="00096C1F"/>
    <w:rsid w:val="000B4253"/>
    <w:rsid w:val="00121CB6"/>
    <w:rsid w:val="00160935"/>
    <w:rsid w:val="001770D6"/>
    <w:rsid w:val="00190177"/>
    <w:rsid w:val="00194CF8"/>
    <w:rsid w:val="00196C8E"/>
    <w:rsid w:val="001B488B"/>
    <w:rsid w:val="001C3E07"/>
    <w:rsid w:val="001E6FE2"/>
    <w:rsid w:val="001F3AD8"/>
    <w:rsid w:val="00205C06"/>
    <w:rsid w:val="002079AD"/>
    <w:rsid w:val="00221A7F"/>
    <w:rsid w:val="00236B82"/>
    <w:rsid w:val="002717D5"/>
    <w:rsid w:val="002A1E19"/>
    <w:rsid w:val="002B1E6E"/>
    <w:rsid w:val="002E2793"/>
    <w:rsid w:val="0030188C"/>
    <w:rsid w:val="003041B5"/>
    <w:rsid w:val="003126A8"/>
    <w:rsid w:val="0032495C"/>
    <w:rsid w:val="00346ED7"/>
    <w:rsid w:val="0035684A"/>
    <w:rsid w:val="003E24F6"/>
    <w:rsid w:val="0040282B"/>
    <w:rsid w:val="00406D66"/>
    <w:rsid w:val="00423567"/>
    <w:rsid w:val="00462090"/>
    <w:rsid w:val="004876AB"/>
    <w:rsid w:val="00494447"/>
    <w:rsid w:val="004B3EA1"/>
    <w:rsid w:val="004D22F7"/>
    <w:rsid w:val="004F715B"/>
    <w:rsid w:val="00540F0D"/>
    <w:rsid w:val="00567C55"/>
    <w:rsid w:val="00584A42"/>
    <w:rsid w:val="005A6B9A"/>
    <w:rsid w:val="005B1511"/>
    <w:rsid w:val="005B4E03"/>
    <w:rsid w:val="005C5F56"/>
    <w:rsid w:val="005D59CB"/>
    <w:rsid w:val="00604626"/>
    <w:rsid w:val="006124C5"/>
    <w:rsid w:val="006208BB"/>
    <w:rsid w:val="00627530"/>
    <w:rsid w:val="006803A0"/>
    <w:rsid w:val="006C1A9C"/>
    <w:rsid w:val="006E4528"/>
    <w:rsid w:val="007142F6"/>
    <w:rsid w:val="00726FE5"/>
    <w:rsid w:val="00731349"/>
    <w:rsid w:val="00763FA9"/>
    <w:rsid w:val="00765B03"/>
    <w:rsid w:val="00770C87"/>
    <w:rsid w:val="00776D29"/>
    <w:rsid w:val="00787B2B"/>
    <w:rsid w:val="007A1142"/>
    <w:rsid w:val="007A16FF"/>
    <w:rsid w:val="007A4D48"/>
    <w:rsid w:val="007A7409"/>
    <w:rsid w:val="007B4A5C"/>
    <w:rsid w:val="007E3623"/>
    <w:rsid w:val="007E4001"/>
    <w:rsid w:val="008013E8"/>
    <w:rsid w:val="00805CA8"/>
    <w:rsid w:val="008402F8"/>
    <w:rsid w:val="0084360B"/>
    <w:rsid w:val="00851A4B"/>
    <w:rsid w:val="008A196B"/>
    <w:rsid w:val="008B456C"/>
    <w:rsid w:val="008D77F9"/>
    <w:rsid w:val="00901D50"/>
    <w:rsid w:val="00941F99"/>
    <w:rsid w:val="0095546F"/>
    <w:rsid w:val="00972906"/>
    <w:rsid w:val="00984E55"/>
    <w:rsid w:val="009C40F4"/>
    <w:rsid w:val="00A039DC"/>
    <w:rsid w:val="00A415F0"/>
    <w:rsid w:val="00A459A9"/>
    <w:rsid w:val="00A86920"/>
    <w:rsid w:val="00AB44B9"/>
    <w:rsid w:val="00AD3F58"/>
    <w:rsid w:val="00AE751E"/>
    <w:rsid w:val="00B15C9C"/>
    <w:rsid w:val="00B56B61"/>
    <w:rsid w:val="00B735F5"/>
    <w:rsid w:val="00B77DBE"/>
    <w:rsid w:val="00BD2DA3"/>
    <w:rsid w:val="00C202AB"/>
    <w:rsid w:val="00C211F2"/>
    <w:rsid w:val="00C21F3D"/>
    <w:rsid w:val="00C51F78"/>
    <w:rsid w:val="00C736EE"/>
    <w:rsid w:val="00D0119A"/>
    <w:rsid w:val="00D24CBB"/>
    <w:rsid w:val="00D43831"/>
    <w:rsid w:val="00D6371F"/>
    <w:rsid w:val="00D936A1"/>
    <w:rsid w:val="00DB7D23"/>
    <w:rsid w:val="00DE1710"/>
    <w:rsid w:val="00DF015C"/>
    <w:rsid w:val="00E22D3D"/>
    <w:rsid w:val="00E256AC"/>
    <w:rsid w:val="00E50D72"/>
    <w:rsid w:val="00E50E8B"/>
    <w:rsid w:val="00E75983"/>
    <w:rsid w:val="00F0465F"/>
    <w:rsid w:val="00F20365"/>
    <w:rsid w:val="00F339A1"/>
    <w:rsid w:val="00F80A72"/>
    <w:rsid w:val="00FB107A"/>
    <w:rsid w:val="00FB73C3"/>
    <w:rsid w:val="00FE5A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8B"/>
  </w:style>
  <w:style w:type="paragraph" w:styleId="Titre1">
    <w:name w:val="heading 1"/>
    <w:basedOn w:val="Normal"/>
    <w:next w:val="Normal"/>
    <w:link w:val="Titre1Car"/>
    <w:uiPriority w:val="9"/>
    <w:qFormat/>
    <w:rsid w:val="00F20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20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20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36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20365"/>
    <w:pPr>
      <w:ind w:left="720"/>
      <w:contextualSpacing/>
    </w:pPr>
  </w:style>
  <w:style w:type="character" w:customStyle="1" w:styleId="Titre2Car">
    <w:name w:val="Titre 2 Car"/>
    <w:basedOn w:val="Policepardfaut"/>
    <w:link w:val="Titre2"/>
    <w:uiPriority w:val="9"/>
    <w:rsid w:val="00F2036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20365"/>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B7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DBE"/>
    <w:rPr>
      <w:rFonts w:ascii="Tahoma" w:hAnsi="Tahoma" w:cs="Tahoma"/>
      <w:sz w:val="16"/>
      <w:szCs w:val="16"/>
    </w:rPr>
  </w:style>
  <w:style w:type="paragraph" w:styleId="Lgende">
    <w:name w:val="caption"/>
    <w:basedOn w:val="Normal"/>
    <w:next w:val="Normal"/>
    <w:uiPriority w:val="35"/>
    <w:unhideWhenUsed/>
    <w:qFormat/>
    <w:rsid w:val="00B77DBE"/>
    <w:pPr>
      <w:spacing w:line="240" w:lineRule="auto"/>
    </w:pPr>
    <w:rPr>
      <w:b/>
      <w:bCs/>
      <w:color w:val="4F81BD" w:themeColor="accent1"/>
      <w:sz w:val="18"/>
      <w:szCs w:val="18"/>
    </w:rPr>
  </w:style>
  <w:style w:type="paragraph" w:styleId="En-tte">
    <w:name w:val="header"/>
    <w:basedOn w:val="Normal"/>
    <w:link w:val="En-tteCar"/>
    <w:uiPriority w:val="99"/>
    <w:semiHidden/>
    <w:unhideWhenUsed/>
    <w:rsid w:val="00FB73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73C3"/>
  </w:style>
  <w:style w:type="paragraph" w:styleId="Pieddepage">
    <w:name w:val="footer"/>
    <w:basedOn w:val="Normal"/>
    <w:link w:val="PieddepageCar"/>
    <w:uiPriority w:val="99"/>
    <w:unhideWhenUsed/>
    <w:rsid w:val="00FB73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3C3"/>
  </w:style>
  <w:style w:type="table" w:styleId="Grilledutableau">
    <w:name w:val="Table Grid"/>
    <w:basedOn w:val="TableauNormal"/>
    <w:uiPriority w:val="59"/>
    <w:rsid w:val="00955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2717D5"/>
    <w:rPr>
      <w:color w:val="0000FF" w:themeColor="hyperlink"/>
      <w:u w:val="single"/>
    </w:rPr>
  </w:style>
  <w:style w:type="character" w:customStyle="1" w:styleId="inlmmlbox">
    <w:name w:val="inlmmlbox"/>
    <w:basedOn w:val="Policepardfaut"/>
    <w:rsid w:val="00DF015C"/>
  </w:style>
  <w:style w:type="paragraph" w:styleId="Sansinterligne">
    <w:name w:val="No Spacing"/>
    <w:link w:val="SansinterligneCar"/>
    <w:uiPriority w:val="1"/>
    <w:qFormat/>
    <w:rsid w:val="008B456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B456C"/>
    <w:rPr>
      <w:rFonts w:eastAsiaTheme="minorEastAsia"/>
    </w:rPr>
  </w:style>
  <w:style w:type="paragraph" w:styleId="Corpsdetexte">
    <w:name w:val="Body Text"/>
    <w:basedOn w:val="Normal"/>
    <w:link w:val="CorpsdetexteCar"/>
    <w:rsid w:val="0084360B"/>
    <w:pPr>
      <w:widowControl w:val="0"/>
      <w:suppressAutoHyphens/>
      <w:spacing w:before="120" w:after="39" w:line="240" w:lineRule="auto"/>
      <w:ind w:firstLine="709"/>
      <w:jc w:val="both"/>
    </w:pPr>
    <w:rPr>
      <w:rFonts w:ascii="Times New Roman" w:eastAsia="Times New Roman" w:hAnsi="Times New Roman" w:cs="Times New Roman"/>
      <w:snapToGrid w:val="0"/>
      <w:spacing w:val="-4"/>
      <w:sz w:val="24"/>
      <w:szCs w:val="20"/>
    </w:rPr>
  </w:style>
  <w:style w:type="character" w:customStyle="1" w:styleId="CorpsdetexteCar">
    <w:name w:val="Corps de texte Car"/>
    <w:basedOn w:val="Policepardfaut"/>
    <w:link w:val="Corpsdetexte"/>
    <w:rsid w:val="0084360B"/>
    <w:rPr>
      <w:rFonts w:ascii="Times New Roman" w:eastAsia="Times New Roman" w:hAnsi="Times New Roman" w:cs="Times New Roman"/>
      <w:snapToGrid w:val="0"/>
      <w:spacing w:val="-4"/>
      <w:sz w:val="24"/>
      <w:szCs w:val="20"/>
    </w:rPr>
  </w:style>
  <w:style w:type="paragraph" w:styleId="Notedebasdepage">
    <w:name w:val="footnote text"/>
    <w:basedOn w:val="Normal"/>
    <w:link w:val="NotedebasdepageCar"/>
    <w:uiPriority w:val="99"/>
    <w:semiHidden/>
    <w:unhideWhenUsed/>
    <w:rsid w:val="003126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6A8"/>
    <w:rPr>
      <w:sz w:val="20"/>
      <w:szCs w:val="20"/>
    </w:rPr>
  </w:style>
  <w:style w:type="character" w:styleId="Appelnotedebasdep">
    <w:name w:val="footnote reference"/>
    <w:basedOn w:val="Policepardfaut"/>
    <w:uiPriority w:val="99"/>
    <w:semiHidden/>
    <w:unhideWhenUsed/>
    <w:rsid w:val="003126A8"/>
    <w:rPr>
      <w:vertAlign w:val="superscript"/>
    </w:rPr>
  </w:style>
</w:styles>
</file>

<file path=word/webSettings.xml><?xml version="1.0" encoding="utf-8"?>
<w:webSettings xmlns:r="http://schemas.openxmlformats.org/officeDocument/2006/relationships" xmlns:w="http://schemas.openxmlformats.org/wordprocessingml/2006/main">
  <w:divs>
    <w:div w:id="239561969">
      <w:bodyDiv w:val="1"/>
      <w:marLeft w:val="0"/>
      <w:marRight w:val="0"/>
      <w:marTop w:val="0"/>
      <w:marBottom w:val="0"/>
      <w:divBdr>
        <w:top w:val="none" w:sz="0" w:space="0" w:color="auto"/>
        <w:left w:val="none" w:sz="0" w:space="0" w:color="auto"/>
        <w:bottom w:val="none" w:sz="0" w:space="0" w:color="auto"/>
        <w:right w:val="none" w:sz="0" w:space="0" w:color="auto"/>
      </w:divBdr>
    </w:div>
    <w:div w:id="318384323">
      <w:bodyDiv w:val="1"/>
      <w:marLeft w:val="0"/>
      <w:marRight w:val="0"/>
      <w:marTop w:val="0"/>
      <w:marBottom w:val="0"/>
      <w:divBdr>
        <w:top w:val="none" w:sz="0" w:space="0" w:color="auto"/>
        <w:left w:val="none" w:sz="0" w:space="0" w:color="auto"/>
        <w:bottom w:val="none" w:sz="0" w:space="0" w:color="auto"/>
        <w:right w:val="none" w:sz="0" w:space="0" w:color="auto"/>
      </w:divBdr>
    </w:div>
    <w:div w:id="320013834">
      <w:bodyDiv w:val="1"/>
      <w:marLeft w:val="0"/>
      <w:marRight w:val="0"/>
      <w:marTop w:val="0"/>
      <w:marBottom w:val="0"/>
      <w:divBdr>
        <w:top w:val="none" w:sz="0" w:space="0" w:color="auto"/>
        <w:left w:val="none" w:sz="0" w:space="0" w:color="auto"/>
        <w:bottom w:val="none" w:sz="0" w:space="0" w:color="auto"/>
        <w:right w:val="none" w:sz="0" w:space="0" w:color="auto"/>
      </w:divBdr>
    </w:div>
    <w:div w:id="411590784">
      <w:bodyDiv w:val="1"/>
      <w:marLeft w:val="0"/>
      <w:marRight w:val="0"/>
      <w:marTop w:val="0"/>
      <w:marBottom w:val="0"/>
      <w:divBdr>
        <w:top w:val="none" w:sz="0" w:space="0" w:color="auto"/>
        <w:left w:val="none" w:sz="0" w:space="0" w:color="auto"/>
        <w:bottom w:val="none" w:sz="0" w:space="0" w:color="auto"/>
        <w:right w:val="none" w:sz="0" w:space="0" w:color="auto"/>
      </w:divBdr>
    </w:div>
    <w:div w:id="489030724">
      <w:bodyDiv w:val="1"/>
      <w:marLeft w:val="0"/>
      <w:marRight w:val="0"/>
      <w:marTop w:val="0"/>
      <w:marBottom w:val="0"/>
      <w:divBdr>
        <w:top w:val="none" w:sz="0" w:space="0" w:color="auto"/>
        <w:left w:val="none" w:sz="0" w:space="0" w:color="auto"/>
        <w:bottom w:val="none" w:sz="0" w:space="0" w:color="auto"/>
        <w:right w:val="none" w:sz="0" w:space="0" w:color="auto"/>
      </w:divBdr>
    </w:div>
    <w:div w:id="641273635">
      <w:bodyDiv w:val="1"/>
      <w:marLeft w:val="0"/>
      <w:marRight w:val="0"/>
      <w:marTop w:val="0"/>
      <w:marBottom w:val="0"/>
      <w:divBdr>
        <w:top w:val="none" w:sz="0" w:space="0" w:color="auto"/>
        <w:left w:val="none" w:sz="0" w:space="0" w:color="auto"/>
        <w:bottom w:val="none" w:sz="0" w:space="0" w:color="auto"/>
        <w:right w:val="none" w:sz="0" w:space="0" w:color="auto"/>
      </w:divBdr>
    </w:div>
    <w:div w:id="696078908">
      <w:bodyDiv w:val="1"/>
      <w:marLeft w:val="0"/>
      <w:marRight w:val="0"/>
      <w:marTop w:val="0"/>
      <w:marBottom w:val="0"/>
      <w:divBdr>
        <w:top w:val="none" w:sz="0" w:space="0" w:color="auto"/>
        <w:left w:val="none" w:sz="0" w:space="0" w:color="auto"/>
        <w:bottom w:val="none" w:sz="0" w:space="0" w:color="auto"/>
        <w:right w:val="none" w:sz="0" w:space="0" w:color="auto"/>
      </w:divBdr>
    </w:div>
    <w:div w:id="772483379">
      <w:bodyDiv w:val="1"/>
      <w:marLeft w:val="0"/>
      <w:marRight w:val="0"/>
      <w:marTop w:val="0"/>
      <w:marBottom w:val="0"/>
      <w:divBdr>
        <w:top w:val="none" w:sz="0" w:space="0" w:color="auto"/>
        <w:left w:val="none" w:sz="0" w:space="0" w:color="auto"/>
        <w:bottom w:val="none" w:sz="0" w:space="0" w:color="auto"/>
        <w:right w:val="none" w:sz="0" w:space="0" w:color="auto"/>
      </w:divBdr>
    </w:div>
    <w:div w:id="809251437">
      <w:bodyDiv w:val="1"/>
      <w:marLeft w:val="0"/>
      <w:marRight w:val="0"/>
      <w:marTop w:val="0"/>
      <w:marBottom w:val="0"/>
      <w:divBdr>
        <w:top w:val="none" w:sz="0" w:space="0" w:color="auto"/>
        <w:left w:val="none" w:sz="0" w:space="0" w:color="auto"/>
        <w:bottom w:val="none" w:sz="0" w:space="0" w:color="auto"/>
        <w:right w:val="none" w:sz="0" w:space="0" w:color="auto"/>
      </w:divBdr>
    </w:div>
    <w:div w:id="1396052689">
      <w:bodyDiv w:val="1"/>
      <w:marLeft w:val="0"/>
      <w:marRight w:val="0"/>
      <w:marTop w:val="0"/>
      <w:marBottom w:val="0"/>
      <w:divBdr>
        <w:top w:val="none" w:sz="0" w:space="0" w:color="auto"/>
        <w:left w:val="none" w:sz="0" w:space="0" w:color="auto"/>
        <w:bottom w:val="none" w:sz="0" w:space="0" w:color="auto"/>
        <w:right w:val="none" w:sz="0" w:space="0" w:color="auto"/>
      </w:divBdr>
    </w:div>
    <w:div w:id="1420053766">
      <w:bodyDiv w:val="1"/>
      <w:marLeft w:val="0"/>
      <w:marRight w:val="0"/>
      <w:marTop w:val="0"/>
      <w:marBottom w:val="0"/>
      <w:divBdr>
        <w:top w:val="none" w:sz="0" w:space="0" w:color="auto"/>
        <w:left w:val="none" w:sz="0" w:space="0" w:color="auto"/>
        <w:bottom w:val="none" w:sz="0" w:space="0" w:color="auto"/>
        <w:right w:val="none" w:sz="0" w:space="0" w:color="auto"/>
      </w:divBdr>
    </w:div>
    <w:div w:id="1752042188">
      <w:bodyDiv w:val="1"/>
      <w:marLeft w:val="0"/>
      <w:marRight w:val="0"/>
      <w:marTop w:val="0"/>
      <w:marBottom w:val="0"/>
      <w:divBdr>
        <w:top w:val="none" w:sz="0" w:space="0" w:color="auto"/>
        <w:left w:val="none" w:sz="0" w:space="0" w:color="auto"/>
        <w:bottom w:val="none" w:sz="0" w:space="0" w:color="auto"/>
        <w:right w:val="none" w:sz="0" w:space="0" w:color="auto"/>
      </w:divBdr>
    </w:div>
    <w:div w:id="19676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nt.washington.edu/PROGRAMS/10-2a/" TargetMode="External"/><Relationship Id="rId26" Type="http://schemas.openxmlformats.org/officeDocument/2006/relationships/hyperlink" Target="http://qm.phys.tsinghua.edu.cn/SQM2008" TargetMode="External"/><Relationship Id="rId39" Type="http://schemas.openxmlformats.org/officeDocument/2006/relationships/hyperlink" Target="http://int.phys.washington.edu/PROGRAMS/programs_all.html" TargetMode="External"/><Relationship Id="rId3" Type="http://schemas.openxmlformats.org/officeDocument/2006/relationships/numbering" Target="numbering.xml"/><Relationship Id="rId21" Type="http://schemas.openxmlformats.org/officeDocument/2006/relationships/hyperlink" Target="http://www.ft.uam.es/DIS2009/" TargetMode="External"/><Relationship Id="rId34" Type="http://schemas.openxmlformats.org/officeDocument/2006/relationships/hyperlink" Target="http://event-hardprobes04.web.cern.ch/event-hardprobes04/" TargetMode="External"/><Relationship Id="rId42" Type="http://schemas.openxmlformats.org/officeDocument/2006/relationships/hyperlink" Target="http://alice-france.in2p3.fr/qm2002/"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henix.bnl.gov/WWW/p/talk/newtalk.php" TargetMode="External"/><Relationship Id="rId25" Type="http://schemas.openxmlformats.org/officeDocument/2006/relationships/hyperlink" Target="http://www.lbl.gov/dnp08/" TargetMode="External"/><Relationship Id="rId33" Type="http://schemas.openxmlformats.org/officeDocument/2006/relationships/hyperlink" Target="http://qm2005.kfki.hu/" TargetMode="External"/><Relationship Id="rId38" Type="http://schemas.openxmlformats.org/officeDocument/2006/relationships/hyperlink" Target="http://www.cipanp2003.bnl.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enix.bnl.gov/WWW/talk/pub_papers.php" TargetMode="External"/><Relationship Id="rId20" Type="http://schemas.openxmlformats.org/officeDocument/2006/relationships/hyperlink" Target="http://eds09.web.cern.ch/eds09/" TargetMode="External"/><Relationship Id="rId29" Type="http://schemas.openxmlformats.org/officeDocument/2006/relationships/hyperlink" Target="http://www.desy.de/qwg07/index.php" TargetMode="External"/><Relationship Id="rId41" Type="http://schemas.openxmlformats.org/officeDocument/2006/relationships/hyperlink" Target="http://www.ichep02.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eizmann.ac.il/conferences/panic08/" TargetMode="External"/><Relationship Id="rId32" Type="http://schemas.openxmlformats.org/officeDocument/2006/relationships/hyperlink" Target="http://www.physics.ucla.edu/SQM2006" TargetMode="External"/><Relationship Id="rId37" Type="http://schemas.openxmlformats.org/officeDocument/2006/relationships/hyperlink" Target="http://www.physics.mcgill.ca/hic03/" TargetMode="External"/><Relationship Id="rId40" Type="http://schemas.openxmlformats.org/officeDocument/2006/relationships/hyperlink" Target="http://star.physics.yale.edu/users/bump/19thWinterWorkshop.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moriond.in2p3.fr/" TargetMode="External"/><Relationship Id="rId28" Type="http://schemas.openxmlformats.org/officeDocument/2006/relationships/hyperlink" Target="http://www.veccal.ernet.in/qm2008.html" TargetMode="External"/><Relationship Id="rId36" Type="http://schemas.openxmlformats.org/officeDocument/2006/relationships/hyperlink" Target="http://qm2004.lbl.gov/" TargetMode="External"/><Relationship Id="rId10" Type="http://schemas.openxmlformats.org/officeDocument/2006/relationships/image" Target="media/image2.jpeg"/><Relationship Id="rId19" Type="http://schemas.openxmlformats.org/officeDocument/2006/relationships/hyperlink" Target="http://moriond.in2p3.fr/QCD/2010/qcd_uk.html" TargetMode="External"/><Relationship Id="rId31" Type="http://schemas.openxmlformats.org/officeDocument/2006/relationships/hyperlink" Target="http://teorica.fis.ucm.es/%7Eft11/QNP06/center.html"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phy.ornl.gov/QM09/" TargetMode="External"/><Relationship Id="rId27" Type="http://schemas.openxmlformats.org/officeDocument/2006/relationships/hyperlink" Target="http://www-fp.usc.es/hp2008" TargetMode="External"/><Relationship Id="rId30" Type="http://schemas.openxmlformats.org/officeDocument/2006/relationships/hyperlink" Target="http://www.mppmu.mpg.de/dis2007/" TargetMode="External"/><Relationship Id="rId35" Type="http://schemas.openxmlformats.org/officeDocument/2006/relationships/hyperlink" Target="http://www-rnc.lbl.gov/sqm2004/" TargetMode="External"/><Relationship Id="rId43" Type="http://schemas.openxmlformats.org/officeDocument/2006/relationships/hyperlink" Target="http://moriond.in2p3.fr/QCD/2002/qcd_uk.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henix.bnl.gov/WWW/fvtx/" TargetMode="External"/><Relationship Id="rId2" Type="http://schemas.openxmlformats.org/officeDocument/2006/relationships/hyperlink" Target="http://polzope.in2p3.fr:8081/PHENIX/projet-spiro" TargetMode="External"/><Relationship Id="rId1" Type="http://schemas.openxmlformats.org/officeDocument/2006/relationships/hyperlink" Target="http://www.phenix.bnl.gov/techpapers.html" TargetMode="External"/><Relationship Id="rId4" Type="http://schemas.openxmlformats.org/officeDocument/2006/relationships/hyperlink" Target="http://polzope.in2p3.fr:8081/PHENIX/projet-spi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2010-06-04T00:00:00</PublishDate>
  <Abstract>Rédigé par : Laurent Aphecetche, Alberto Baldisseri, Hugues Delagrange, Olivier Drapier, Frédéric Fleuret, Michel Gonin, Raphaël Granier de Cassagnac, Denis Jouan,  Guy Roche.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BD6C02-4F90-4463-BE3D-71ABD6AD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3726</Words>
  <Characters>19827</Characters>
  <Application>Microsoft Office Word</Application>
  <DocSecurity>0</DocSecurity>
  <Lines>431</Lines>
  <Paragraphs>290</Paragraphs>
  <ScaleCrop>false</ScaleCrop>
  <HeadingPairs>
    <vt:vector size="2" baseType="variant">
      <vt:variant>
        <vt:lpstr>Titre</vt:lpstr>
      </vt:variant>
      <vt:variant>
        <vt:i4>1</vt:i4>
      </vt:variant>
    </vt:vector>
  </HeadingPairs>
  <TitlesOfParts>
    <vt:vector size="1" baseType="lpstr">
      <vt:lpstr>Bilan de la contribution française à l’expérience PHENIX</vt:lpstr>
    </vt:vector>
  </TitlesOfParts>
  <Company>Conseil Scientifique de l’IN2P3</Company>
  <LinksUpToDate>false</LinksUpToDate>
  <CharactersWithSpaces>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la contribution française à l’expérience PHENIX</dc:title>
  <dc:subject>Document support</dc:subject>
  <dc:creator>Rédigé par : Laurent Aphecetche, Alberto Baldisseri, Olivier Drapier, Frédéric Fleuret, Michel Gonin, Raphaël Granier de Cassagnac, Denis Jouan,  Guy Roche.</dc:creator>
  <cp:keywords/>
  <dc:description/>
  <cp:lastModifiedBy>fleuret</cp:lastModifiedBy>
  <cp:revision>34</cp:revision>
  <cp:lastPrinted>2010-06-04T13:00:00Z</cp:lastPrinted>
  <dcterms:created xsi:type="dcterms:W3CDTF">2010-05-27T16:44:00Z</dcterms:created>
  <dcterms:modified xsi:type="dcterms:W3CDTF">2010-06-04T15:53:00Z</dcterms:modified>
</cp:coreProperties>
</file>